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F59C" w14:textId="77777777" w:rsidR="00606EB2" w:rsidRDefault="00606EB2">
      <w:pPr>
        <w:pStyle w:val="Standard"/>
        <w:widowControl w:val="0"/>
        <w:autoSpaceDE w:val="0"/>
        <w:rPr>
          <w:sz w:val="20"/>
          <w:szCs w:val="20"/>
          <w:lang w:val="de-DE"/>
        </w:rPr>
      </w:pPr>
    </w:p>
    <w:p w14:paraId="26425BBB" w14:textId="77777777" w:rsidR="00606EB2" w:rsidRDefault="001436E7">
      <w:pPr>
        <w:pStyle w:val="Standard"/>
        <w:widowControl w:val="0"/>
        <w:autoSpaceDE w:val="0"/>
      </w:pPr>
      <w:r>
        <w:rPr>
          <w:sz w:val="20"/>
          <w:szCs w:val="20"/>
          <w:lang w:val="de-DE"/>
        </w:rPr>
        <w:t xml:space="preserve">                </w:t>
      </w:r>
      <w:r>
        <w:rPr>
          <w:noProof/>
          <w:sz w:val="20"/>
          <w:szCs w:val="20"/>
        </w:rPr>
        <w:drawing>
          <wp:inline distT="0" distB="0" distL="0" distR="0" wp14:anchorId="531DDF35" wp14:editId="3C08D8CF">
            <wp:extent cx="574197" cy="703082"/>
            <wp:effectExtent l="0" t="0" r="0" b="1768"/>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4197" cy="703082"/>
                    </a:xfrm>
                    <a:prstGeom prst="rect">
                      <a:avLst/>
                    </a:prstGeom>
                    <a:solidFill>
                      <a:srgbClr val="FFFFFF"/>
                    </a:solidFill>
                    <a:ln>
                      <a:noFill/>
                      <a:prstDash/>
                    </a:ln>
                  </pic:spPr>
                </pic:pic>
              </a:graphicData>
            </a:graphic>
          </wp:inline>
        </w:drawing>
      </w:r>
    </w:p>
    <w:p w14:paraId="5AC5EABA" w14:textId="77777777" w:rsidR="00606EB2" w:rsidRPr="008B64E4" w:rsidRDefault="001436E7">
      <w:pPr>
        <w:pStyle w:val="Standard"/>
        <w:widowControl w:val="0"/>
        <w:tabs>
          <w:tab w:val="left" w:pos="-142"/>
          <w:tab w:val="left" w:pos="142"/>
        </w:tabs>
        <w:autoSpaceDE w:val="0"/>
        <w:rPr>
          <w:rFonts w:ascii="Arial" w:hAnsi="Arial" w:cs="Arial"/>
          <w:color w:val="000000"/>
          <w:lang w:val="de-DE"/>
        </w:rPr>
      </w:pPr>
      <w:r>
        <w:rPr>
          <w:rFonts w:ascii="Arial" w:hAnsi="Arial" w:cs="Arial"/>
          <w:color w:val="000000"/>
          <w:lang w:val="de-DE"/>
        </w:rPr>
        <w:t xml:space="preserve">  </w:t>
      </w:r>
      <w:r w:rsidRPr="008B64E4">
        <w:rPr>
          <w:rFonts w:ascii="Arial" w:hAnsi="Arial" w:cs="Arial"/>
          <w:color w:val="000000"/>
          <w:lang w:val="de-DE"/>
        </w:rPr>
        <w:t>REPUBLIKA HRVATSKA</w:t>
      </w:r>
    </w:p>
    <w:p w14:paraId="75CABA95" w14:textId="77777777" w:rsidR="00606EB2" w:rsidRPr="008B64E4" w:rsidRDefault="001436E7">
      <w:pPr>
        <w:pStyle w:val="Standard"/>
        <w:widowControl w:val="0"/>
        <w:tabs>
          <w:tab w:val="left" w:pos="-142"/>
          <w:tab w:val="left" w:pos="142"/>
        </w:tabs>
        <w:autoSpaceDE w:val="0"/>
        <w:rPr>
          <w:rFonts w:ascii="Arial" w:hAnsi="Arial" w:cs="Arial"/>
          <w:color w:val="000000"/>
          <w:lang w:val="de-DE"/>
        </w:rPr>
      </w:pPr>
      <w:proofErr w:type="gramStart"/>
      <w:r w:rsidRPr="008B64E4">
        <w:rPr>
          <w:rFonts w:ascii="Arial" w:hAnsi="Arial" w:cs="Arial"/>
          <w:color w:val="000000"/>
          <w:lang w:val="de-DE"/>
        </w:rPr>
        <w:t>VARAŽDINSKA  ŽUPANIJA</w:t>
      </w:r>
      <w:proofErr w:type="gramEnd"/>
    </w:p>
    <w:p w14:paraId="7D64DE3C" w14:textId="77777777" w:rsidR="00606EB2" w:rsidRPr="008B64E4" w:rsidRDefault="001436E7">
      <w:pPr>
        <w:pStyle w:val="Standard"/>
        <w:widowControl w:val="0"/>
        <w:tabs>
          <w:tab w:val="left" w:pos="-142"/>
          <w:tab w:val="left" w:pos="142"/>
        </w:tabs>
        <w:autoSpaceDE w:val="0"/>
        <w:rPr>
          <w:rFonts w:ascii="Arial" w:hAnsi="Arial" w:cs="Arial"/>
          <w:color w:val="000000"/>
          <w:lang w:val="de-DE"/>
        </w:rPr>
      </w:pPr>
      <w:r w:rsidRPr="008B64E4">
        <w:rPr>
          <w:rFonts w:ascii="Arial" w:hAnsi="Arial" w:cs="Arial"/>
          <w:color w:val="000000"/>
          <w:lang w:val="de-DE"/>
        </w:rPr>
        <w:t>OPĆINA VELIKI BUKOVEC</w:t>
      </w:r>
    </w:p>
    <w:p w14:paraId="21AEAA98" w14:textId="036A104F" w:rsidR="000F76EA" w:rsidRPr="001B36E1" w:rsidRDefault="000F76EA" w:rsidP="000F76EA">
      <w:pPr>
        <w:pStyle w:val="Standard"/>
        <w:widowControl w:val="0"/>
        <w:tabs>
          <w:tab w:val="left" w:pos="-142"/>
          <w:tab w:val="left" w:pos="142"/>
        </w:tabs>
        <w:autoSpaceDE w:val="0"/>
        <w:rPr>
          <w:color w:val="000000"/>
          <w:lang w:val="de-DE"/>
        </w:rPr>
      </w:pPr>
      <w:r w:rsidRPr="001B36E1">
        <w:rPr>
          <w:color w:val="000000"/>
          <w:lang w:val="de-DE"/>
        </w:rPr>
        <w:t>KLASA: 400-0</w:t>
      </w:r>
      <w:r w:rsidR="00B523F6" w:rsidRPr="001B36E1">
        <w:rPr>
          <w:color w:val="000000"/>
          <w:lang w:val="de-DE"/>
        </w:rPr>
        <w:t>8</w:t>
      </w:r>
      <w:r w:rsidRPr="001B36E1">
        <w:rPr>
          <w:color w:val="000000"/>
          <w:lang w:val="de-DE"/>
        </w:rPr>
        <w:t>/</w:t>
      </w:r>
      <w:r w:rsidR="00426E85" w:rsidRPr="001B36E1">
        <w:rPr>
          <w:color w:val="000000"/>
          <w:lang w:val="de-DE"/>
        </w:rPr>
        <w:t>2</w:t>
      </w:r>
      <w:r w:rsidR="00830A8D" w:rsidRPr="001B36E1">
        <w:rPr>
          <w:color w:val="000000"/>
          <w:lang w:val="de-DE"/>
        </w:rPr>
        <w:t>1</w:t>
      </w:r>
      <w:r w:rsidRPr="001B36E1">
        <w:rPr>
          <w:color w:val="000000"/>
          <w:lang w:val="de-DE"/>
        </w:rPr>
        <w:t>-01/0</w:t>
      </w:r>
      <w:r w:rsidR="0056440C">
        <w:rPr>
          <w:color w:val="000000"/>
          <w:lang w:val="de-DE"/>
        </w:rPr>
        <w:t>2</w:t>
      </w:r>
    </w:p>
    <w:p w14:paraId="44D35A5E" w14:textId="5563B4A6" w:rsidR="000F76EA" w:rsidRPr="001B36E1" w:rsidRDefault="000F76EA" w:rsidP="000F76EA">
      <w:pPr>
        <w:pStyle w:val="Standard"/>
        <w:widowControl w:val="0"/>
        <w:tabs>
          <w:tab w:val="left" w:pos="-142"/>
          <w:tab w:val="left" w:pos="142"/>
        </w:tabs>
        <w:autoSpaceDE w:val="0"/>
        <w:rPr>
          <w:color w:val="000000"/>
          <w:lang w:val="de-DE"/>
        </w:rPr>
      </w:pPr>
      <w:r w:rsidRPr="001B36E1">
        <w:rPr>
          <w:color w:val="000000"/>
          <w:lang w:val="de-DE"/>
        </w:rPr>
        <w:t>URBROJ: 2186</w:t>
      </w:r>
      <w:r w:rsidR="0029705F">
        <w:rPr>
          <w:color w:val="000000"/>
          <w:lang w:val="de-DE"/>
        </w:rPr>
        <w:t>-2</w:t>
      </w:r>
      <w:r w:rsidRPr="001B36E1">
        <w:rPr>
          <w:color w:val="000000"/>
          <w:lang w:val="de-DE"/>
        </w:rPr>
        <w:t>8-03-</w:t>
      </w:r>
      <w:r w:rsidR="00D67CEB" w:rsidRPr="001B36E1">
        <w:rPr>
          <w:color w:val="000000"/>
          <w:lang w:val="de-DE"/>
        </w:rPr>
        <w:t>2</w:t>
      </w:r>
      <w:r w:rsidR="006133B2">
        <w:rPr>
          <w:color w:val="000000"/>
          <w:lang w:val="de-DE"/>
        </w:rPr>
        <w:t>2</w:t>
      </w:r>
      <w:r w:rsidRPr="001B36E1">
        <w:rPr>
          <w:color w:val="000000"/>
          <w:lang w:val="de-DE"/>
        </w:rPr>
        <w:t>-</w:t>
      </w:r>
      <w:r w:rsidR="0056440C">
        <w:rPr>
          <w:color w:val="000000"/>
          <w:lang w:val="de-DE"/>
        </w:rPr>
        <w:t>11</w:t>
      </w:r>
    </w:p>
    <w:p w14:paraId="7B3E971F" w14:textId="77777777" w:rsidR="00606EB2" w:rsidRPr="001B36E1" w:rsidRDefault="00606EB2">
      <w:pPr>
        <w:pStyle w:val="Standard"/>
        <w:widowControl w:val="0"/>
        <w:tabs>
          <w:tab w:val="left" w:pos="-142"/>
          <w:tab w:val="left" w:pos="142"/>
        </w:tabs>
        <w:autoSpaceDE w:val="0"/>
        <w:rPr>
          <w:color w:val="000000"/>
          <w:sz w:val="18"/>
          <w:szCs w:val="18"/>
          <w:lang w:val="en-US"/>
        </w:rPr>
      </w:pPr>
    </w:p>
    <w:p w14:paraId="2B386B56" w14:textId="77777777" w:rsidR="00606EB2" w:rsidRPr="001B36E1" w:rsidRDefault="001436E7">
      <w:pPr>
        <w:pStyle w:val="Standard"/>
        <w:rPr>
          <w:rFonts w:cs="Tahoma"/>
          <w:sz w:val="26"/>
          <w:szCs w:val="26"/>
          <w:lang w:val="de-DE"/>
        </w:rPr>
      </w:pPr>
      <w:r w:rsidRPr="001B36E1">
        <w:rPr>
          <w:rFonts w:cs="Tahoma"/>
          <w:sz w:val="26"/>
          <w:szCs w:val="26"/>
          <w:lang w:val="de-DE"/>
        </w:rPr>
        <w:t>MB: 02676583</w:t>
      </w:r>
    </w:p>
    <w:p w14:paraId="2E7A8B73" w14:textId="77777777" w:rsidR="00606EB2" w:rsidRPr="001B36E1" w:rsidRDefault="001436E7">
      <w:pPr>
        <w:pStyle w:val="Standard"/>
        <w:rPr>
          <w:rFonts w:cs="Tahoma"/>
          <w:sz w:val="26"/>
          <w:szCs w:val="26"/>
          <w:lang w:val="de-DE"/>
        </w:rPr>
      </w:pPr>
      <w:r w:rsidRPr="001B36E1">
        <w:rPr>
          <w:rFonts w:cs="Tahoma"/>
          <w:sz w:val="26"/>
          <w:szCs w:val="26"/>
          <w:lang w:val="de-DE"/>
        </w:rPr>
        <w:t>OIB: 09571757651</w:t>
      </w:r>
    </w:p>
    <w:p w14:paraId="2E448003" w14:textId="77777777" w:rsidR="00606EB2" w:rsidRPr="001B36E1" w:rsidRDefault="001436E7">
      <w:pPr>
        <w:pStyle w:val="Standard"/>
        <w:widowControl w:val="0"/>
        <w:tabs>
          <w:tab w:val="left" w:pos="-142"/>
          <w:tab w:val="left" w:pos="142"/>
        </w:tabs>
        <w:autoSpaceDE w:val="0"/>
        <w:rPr>
          <w:rFonts w:cs="Tahoma"/>
          <w:color w:val="000000"/>
          <w:sz w:val="26"/>
          <w:szCs w:val="26"/>
          <w:lang w:val="de-DE"/>
        </w:rPr>
      </w:pPr>
      <w:r w:rsidRPr="001B36E1">
        <w:rPr>
          <w:rFonts w:cs="Tahoma"/>
          <w:color w:val="000000"/>
          <w:sz w:val="26"/>
          <w:szCs w:val="26"/>
          <w:lang w:val="de-DE"/>
        </w:rPr>
        <w:t xml:space="preserve">RKP </w:t>
      </w:r>
      <w:proofErr w:type="spellStart"/>
      <w:r w:rsidRPr="001B36E1">
        <w:rPr>
          <w:rFonts w:cs="Tahoma"/>
          <w:color w:val="000000"/>
          <w:sz w:val="26"/>
          <w:szCs w:val="26"/>
          <w:lang w:val="de-DE"/>
        </w:rPr>
        <w:t>oznaka</w:t>
      </w:r>
      <w:proofErr w:type="spellEnd"/>
      <w:r w:rsidRPr="001B36E1">
        <w:rPr>
          <w:rFonts w:cs="Tahoma"/>
          <w:color w:val="000000"/>
          <w:sz w:val="26"/>
          <w:szCs w:val="26"/>
          <w:lang w:val="de-DE"/>
        </w:rPr>
        <w:t>: 31317</w:t>
      </w:r>
    </w:p>
    <w:p w14:paraId="14EFC6A3" w14:textId="77777777" w:rsidR="00606EB2" w:rsidRPr="001B36E1" w:rsidRDefault="001436E7">
      <w:pPr>
        <w:pStyle w:val="Standard"/>
        <w:rPr>
          <w:rFonts w:cs="Tahoma"/>
          <w:sz w:val="26"/>
          <w:szCs w:val="26"/>
          <w:lang w:val="en-US"/>
        </w:rPr>
      </w:pPr>
      <w:proofErr w:type="spellStart"/>
      <w:r w:rsidRPr="001B36E1">
        <w:rPr>
          <w:rFonts w:cs="Tahoma"/>
          <w:sz w:val="26"/>
          <w:szCs w:val="26"/>
          <w:lang w:val="en-US"/>
        </w:rPr>
        <w:t>Šifra</w:t>
      </w:r>
      <w:proofErr w:type="spellEnd"/>
      <w:r w:rsidRPr="001B36E1">
        <w:rPr>
          <w:rFonts w:cs="Tahoma"/>
          <w:sz w:val="26"/>
          <w:szCs w:val="26"/>
          <w:lang w:val="en-US"/>
        </w:rPr>
        <w:t xml:space="preserve"> </w:t>
      </w:r>
      <w:proofErr w:type="spellStart"/>
      <w:r w:rsidRPr="001B36E1">
        <w:rPr>
          <w:rFonts w:cs="Tahoma"/>
          <w:sz w:val="26"/>
          <w:szCs w:val="26"/>
          <w:lang w:val="en-US"/>
        </w:rPr>
        <w:t>općine</w:t>
      </w:r>
      <w:proofErr w:type="spellEnd"/>
      <w:r w:rsidRPr="001B36E1">
        <w:rPr>
          <w:rFonts w:cs="Tahoma"/>
          <w:sz w:val="26"/>
          <w:szCs w:val="26"/>
          <w:lang w:val="en-US"/>
        </w:rPr>
        <w:t>: 558</w:t>
      </w:r>
    </w:p>
    <w:p w14:paraId="4DA422FF" w14:textId="45CBB036" w:rsidR="00606EB2" w:rsidRPr="001B36E1" w:rsidRDefault="00396E78">
      <w:pPr>
        <w:pStyle w:val="Standard"/>
        <w:rPr>
          <w:rFonts w:cs="Tahoma"/>
          <w:sz w:val="26"/>
          <w:szCs w:val="26"/>
          <w:lang w:val="en-US"/>
        </w:rPr>
      </w:pPr>
      <w:proofErr w:type="spellStart"/>
      <w:r w:rsidRPr="001B36E1">
        <w:rPr>
          <w:rFonts w:cs="Tahoma"/>
          <w:sz w:val="26"/>
          <w:szCs w:val="26"/>
          <w:lang w:val="en-US"/>
        </w:rPr>
        <w:t>Razina</w:t>
      </w:r>
      <w:proofErr w:type="spellEnd"/>
      <w:r w:rsidRPr="001B36E1">
        <w:rPr>
          <w:rFonts w:cs="Tahoma"/>
          <w:sz w:val="26"/>
          <w:szCs w:val="26"/>
          <w:lang w:val="en-US"/>
        </w:rPr>
        <w:t>: 22</w:t>
      </w:r>
      <w:r w:rsidR="00D53474">
        <w:rPr>
          <w:rFonts w:cs="Tahoma"/>
          <w:sz w:val="26"/>
          <w:szCs w:val="26"/>
          <w:lang w:val="en-US"/>
        </w:rPr>
        <w:t xml:space="preserve"> </w:t>
      </w:r>
      <w:proofErr w:type="spellStart"/>
      <w:r w:rsidR="00D53474">
        <w:rPr>
          <w:rFonts w:cs="Tahoma"/>
          <w:sz w:val="26"/>
          <w:szCs w:val="26"/>
          <w:lang w:val="en-US"/>
        </w:rPr>
        <w:t>i</w:t>
      </w:r>
      <w:proofErr w:type="spellEnd"/>
      <w:r w:rsidR="00D53474">
        <w:rPr>
          <w:rFonts w:cs="Tahoma"/>
          <w:sz w:val="26"/>
          <w:szCs w:val="26"/>
          <w:lang w:val="en-US"/>
        </w:rPr>
        <w:t xml:space="preserve"> 23</w:t>
      </w:r>
    </w:p>
    <w:p w14:paraId="2CDF6AED" w14:textId="77777777" w:rsidR="00606EB2" w:rsidRPr="001B36E1" w:rsidRDefault="001436E7">
      <w:pPr>
        <w:pStyle w:val="Standard"/>
        <w:rPr>
          <w:rFonts w:cs="Tahoma"/>
          <w:sz w:val="26"/>
          <w:szCs w:val="26"/>
          <w:lang w:val="en-US"/>
        </w:rPr>
      </w:pPr>
      <w:proofErr w:type="spellStart"/>
      <w:r w:rsidRPr="001B36E1">
        <w:rPr>
          <w:rFonts w:cs="Tahoma"/>
          <w:sz w:val="26"/>
          <w:szCs w:val="26"/>
          <w:lang w:val="en-US"/>
        </w:rPr>
        <w:t>Razdjel</w:t>
      </w:r>
      <w:proofErr w:type="spellEnd"/>
      <w:r w:rsidRPr="001B36E1">
        <w:rPr>
          <w:rFonts w:cs="Tahoma"/>
          <w:sz w:val="26"/>
          <w:szCs w:val="26"/>
          <w:lang w:val="en-US"/>
        </w:rPr>
        <w:t>:</w:t>
      </w:r>
      <w:r w:rsidR="00901AC6" w:rsidRPr="001B36E1">
        <w:rPr>
          <w:rFonts w:cs="Tahoma"/>
          <w:sz w:val="26"/>
          <w:szCs w:val="26"/>
          <w:lang w:val="en-US"/>
        </w:rPr>
        <w:t xml:space="preserve"> </w:t>
      </w:r>
      <w:r w:rsidRPr="001B36E1">
        <w:rPr>
          <w:rFonts w:cs="Tahoma"/>
          <w:sz w:val="26"/>
          <w:szCs w:val="26"/>
          <w:lang w:val="en-US"/>
        </w:rPr>
        <w:t>000</w:t>
      </w:r>
    </w:p>
    <w:p w14:paraId="1215DB38" w14:textId="77777777" w:rsidR="00606EB2" w:rsidRPr="001B36E1" w:rsidRDefault="00901AC6">
      <w:pPr>
        <w:pStyle w:val="Standard"/>
        <w:rPr>
          <w:rFonts w:cs="Tahoma"/>
          <w:sz w:val="26"/>
          <w:szCs w:val="26"/>
          <w:lang w:val="en-US"/>
        </w:rPr>
      </w:pPr>
      <w:proofErr w:type="spellStart"/>
      <w:r w:rsidRPr="001B36E1">
        <w:rPr>
          <w:rFonts w:cs="Tahoma"/>
          <w:sz w:val="26"/>
          <w:szCs w:val="26"/>
          <w:lang w:val="en-US"/>
        </w:rPr>
        <w:t>Šifra</w:t>
      </w:r>
      <w:proofErr w:type="spellEnd"/>
      <w:r w:rsidRPr="001B36E1">
        <w:rPr>
          <w:rFonts w:cs="Tahoma"/>
          <w:sz w:val="26"/>
          <w:szCs w:val="26"/>
          <w:lang w:val="en-US"/>
        </w:rPr>
        <w:t xml:space="preserve"> </w:t>
      </w:r>
      <w:proofErr w:type="spellStart"/>
      <w:r w:rsidRPr="001B36E1">
        <w:rPr>
          <w:rFonts w:cs="Tahoma"/>
          <w:sz w:val="26"/>
          <w:szCs w:val="26"/>
          <w:lang w:val="en-US"/>
        </w:rPr>
        <w:t>djelatnosti</w:t>
      </w:r>
      <w:proofErr w:type="spellEnd"/>
      <w:r w:rsidRPr="001B36E1">
        <w:rPr>
          <w:rFonts w:cs="Tahoma"/>
          <w:sz w:val="26"/>
          <w:szCs w:val="26"/>
          <w:lang w:val="en-US"/>
        </w:rPr>
        <w:t>:</w:t>
      </w:r>
      <w:r w:rsidR="001436E7" w:rsidRPr="001B36E1">
        <w:rPr>
          <w:rFonts w:cs="Tahoma"/>
          <w:sz w:val="26"/>
          <w:szCs w:val="26"/>
          <w:lang w:val="en-US"/>
        </w:rPr>
        <w:t xml:space="preserve"> 8411</w:t>
      </w:r>
    </w:p>
    <w:p w14:paraId="3CF4B596" w14:textId="67919A95" w:rsidR="00E446B4" w:rsidRPr="00E446B4" w:rsidRDefault="001436E7" w:rsidP="00E446B4">
      <w:pPr>
        <w:pStyle w:val="Standard"/>
        <w:rPr>
          <w:rFonts w:cs="Tahoma"/>
          <w:sz w:val="26"/>
          <w:szCs w:val="26"/>
          <w:lang w:val="en-US"/>
        </w:rPr>
      </w:pPr>
      <w:proofErr w:type="spellStart"/>
      <w:r w:rsidRPr="001B36E1">
        <w:rPr>
          <w:rFonts w:cs="Tahoma"/>
          <w:sz w:val="26"/>
          <w:szCs w:val="26"/>
          <w:lang w:val="en-US"/>
        </w:rPr>
        <w:t>Žiro</w:t>
      </w:r>
      <w:proofErr w:type="spellEnd"/>
      <w:r w:rsidRPr="001B36E1">
        <w:rPr>
          <w:rFonts w:cs="Tahoma"/>
          <w:sz w:val="26"/>
          <w:szCs w:val="26"/>
          <w:lang w:val="en-US"/>
        </w:rPr>
        <w:t xml:space="preserve"> – </w:t>
      </w:r>
      <w:proofErr w:type="spellStart"/>
      <w:r w:rsidRPr="001B36E1">
        <w:rPr>
          <w:rFonts w:cs="Tahoma"/>
          <w:sz w:val="26"/>
          <w:szCs w:val="26"/>
          <w:lang w:val="en-US"/>
        </w:rPr>
        <w:t>račun</w:t>
      </w:r>
      <w:proofErr w:type="spellEnd"/>
      <w:r w:rsidRPr="001B36E1">
        <w:rPr>
          <w:rFonts w:cs="Tahoma"/>
          <w:sz w:val="26"/>
          <w:szCs w:val="26"/>
          <w:lang w:val="en-US"/>
        </w:rPr>
        <w:t>: HR372390001185580000</w:t>
      </w:r>
      <w:r w:rsidR="00E446B4">
        <w:rPr>
          <w:rFonts w:cs="Tahoma"/>
          <w:sz w:val="26"/>
          <w:szCs w:val="26"/>
          <w:lang w:val="en-US"/>
        </w:rPr>
        <w:t>4</w:t>
      </w:r>
    </w:p>
    <w:p w14:paraId="46862B6A" w14:textId="77777777" w:rsidR="00E446B4" w:rsidRDefault="00E446B4" w:rsidP="00485F36">
      <w:pPr>
        <w:jc w:val="center"/>
        <w:rPr>
          <w:b/>
          <w:bCs/>
          <w:highlight w:val="green"/>
        </w:rPr>
      </w:pPr>
    </w:p>
    <w:p w14:paraId="37F414C0" w14:textId="77777777" w:rsidR="00E446B4" w:rsidRDefault="00E446B4" w:rsidP="00485F36">
      <w:pPr>
        <w:jc w:val="center"/>
        <w:rPr>
          <w:b/>
          <w:bCs/>
          <w:highlight w:val="green"/>
        </w:rPr>
      </w:pPr>
    </w:p>
    <w:p w14:paraId="043970D6" w14:textId="77777777" w:rsidR="00E446B4" w:rsidRDefault="00E446B4" w:rsidP="00E446B4">
      <w:pPr>
        <w:jc w:val="both"/>
        <w:rPr>
          <w:b/>
          <w:bCs/>
        </w:rPr>
      </w:pPr>
    </w:p>
    <w:p w14:paraId="2AAA6F4D" w14:textId="77777777" w:rsidR="00E446B4" w:rsidRDefault="00E446B4" w:rsidP="00E446B4">
      <w:pPr>
        <w:jc w:val="center"/>
        <w:rPr>
          <w:b/>
          <w:bCs/>
        </w:rPr>
      </w:pPr>
      <w:r>
        <w:rPr>
          <w:b/>
          <w:bCs/>
        </w:rPr>
        <w:t>B I LJ E Š K E</w:t>
      </w:r>
    </w:p>
    <w:p w14:paraId="677CA13B" w14:textId="2C9BCA1F" w:rsidR="00E446B4" w:rsidRDefault="00E446B4" w:rsidP="00E446B4">
      <w:pPr>
        <w:jc w:val="center"/>
        <w:rPr>
          <w:b/>
          <w:bCs/>
        </w:rPr>
      </w:pPr>
      <w:r>
        <w:rPr>
          <w:b/>
          <w:bCs/>
        </w:rPr>
        <w:t>uz financijsko izvješće Proračuna Općine Veliki Bukovec</w:t>
      </w:r>
    </w:p>
    <w:p w14:paraId="3342407B" w14:textId="77777777" w:rsidR="00E446B4" w:rsidRDefault="00E446B4" w:rsidP="00E446B4">
      <w:pPr>
        <w:jc w:val="center"/>
        <w:rPr>
          <w:b/>
          <w:bCs/>
        </w:rPr>
      </w:pPr>
      <w:r>
        <w:rPr>
          <w:b/>
          <w:bCs/>
        </w:rPr>
        <w:t>za razdoblje I-XII 2021.godine</w:t>
      </w:r>
    </w:p>
    <w:p w14:paraId="0FB085AE" w14:textId="23D3FCBC" w:rsidR="00E446B4" w:rsidRDefault="00E446B4" w:rsidP="00E446B4">
      <w:pPr>
        <w:jc w:val="both"/>
      </w:pPr>
    </w:p>
    <w:p w14:paraId="6066AE83" w14:textId="4BA83FF9" w:rsidR="00E446B4" w:rsidRDefault="00E446B4" w:rsidP="00E446B4">
      <w:pPr>
        <w:jc w:val="both"/>
      </w:pPr>
      <w:r>
        <w:t xml:space="preserve">U skladu s odredbama Pravilnika o financijskom izvještavanju u proračunskom računovodstvu (Narodne Novine, br. 03/15, 93/15, 135/15, 2/17, 28/17, 112/18, 126/19, 145/20 i 32/21) i Okružnice o sastavljanju, konsolidaciji i predaji financijskih izvještaja proračuna, proračunskih i izvanproračunskih korisnika državnog proračuna te proračunskih i izvanproračunskih korisnika proračuna jedinica lokalne i područne (regionalne) samouprave za razdoblje 1. siječnja do 31. prosinca 2021. godine od Ministarstva  financija (KLASA: 400-02/21-01/25, URBROJ: 513-05-03-21-5 od 27. prosinca 2021. godine), sastavljen je Financijski izvještaj Općine Veliki Bukovec za razdoblje siječanj - prosinac 2021. godine koji se sastoji od: </w:t>
      </w:r>
    </w:p>
    <w:p w14:paraId="10AB00A3" w14:textId="77777777" w:rsidR="005865B6" w:rsidRDefault="005865B6" w:rsidP="00E446B4">
      <w:pPr>
        <w:jc w:val="both"/>
      </w:pPr>
    </w:p>
    <w:p w14:paraId="5E41CD13" w14:textId="45B990A3" w:rsidR="00E446B4" w:rsidRDefault="00E446B4" w:rsidP="00E446B4">
      <w:pPr>
        <w:widowControl/>
        <w:numPr>
          <w:ilvl w:val="0"/>
          <w:numId w:val="13"/>
        </w:numPr>
        <w:suppressAutoHyphens w:val="0"/>
        <w:autoSpaceDN/>
        <w:jc w:val="both"/>
        <w:textAlignment w:val="auto"/>
      </w:pPr>
      <w:r>
        <w:t>Izvještaja o prihodima i rashodima, primicima i izdacima (Obrazac PR-RAS)</w:t>
      </w:r>
    </w:p>
    <w:p w14:paraId="1D654AEA" w14:textId="2CB5D650" w:rsidR="00E446B4" w:rsidRDefault="00E446B4" w:rsidP="00E446B4">
      <w:pPr>
        <w:widowControl/>
        <w:numPr>
          <w:ilvl w:val="0"/>
          <w:numId w:val="13"/>
        </w:numPr>
        <w:suppressAutoHyphens w:val="0"/>
        <w:autoSpaceDN/>
        <w:jc w:val="both"/>
        <w:textAlignment w:val="auto"/>
      </w:pPr>
      <w:r>
        <w:t>Bilance (Obrazac BIL)</w:t>
      </w:r>
    </w:p>
    <w:p w14:paraId="51F7B3E5" w14:textId="40C567AD" w:rsidR="00E446B4" w:rsidRDefault="00E446B4" w:rsidP="00E446B4">
      <w:pPr>
        <w:widowControl/>
        <w:numPr>
          <w:ilvl w:val="0"/>
          <w:numId w:val="13"/>
        </w:numPr>
        <w:suppressAutoHyphens w:val="0"/>
        <w:autoSpaceDN/>
        <w:jc w:val="both"/>
        <w:textAlignment w:val="auto"/>
      </w:pPr>
      <w:r>
        <w:t>Izvještaja o rashodima prema funkcijskoj klasifikaciji (Obrazac  RAS-funkcijski</w:t>
      </w:r>
      <w:r w:rsidR="005865B6">
        <w:t>)</w:t>
      </w:r>
      <w:r>
        <w:t xml:space="preserve"> </w:t>
      </w:r>
    </w:p>
    <w:p w14:paraId="26BD3D92" w14:textId="70274158" w:rsidR="00E446B4" w:rsidRDefault="00E446B4" w:rsidP="00E446B4">
      <w:pPr>
        <w:widowControl/>
        <w:numPr>
          <w:ilvl w:val="0"/>
          <w:numId w:val="13"/>
        </w:numPr>
        <w:suppressAutoHyphens w:val="0"/>
        <w:autoSpaceDN/>
        <w:jc w:val="both"/>
        <w:textAlignment w:val="auto"/>
      </w:pPr>
      <w:r>
        <w:t>Izvještaja o promjenama u vrijednosti i obujmu imovine i obveza (Obrazac P-VRIO)</w:t>
      </w:r>
    </w:p>
    <w:p w14:paraId="44EFDAA9" w14:textId="4BD98193" w:rsidR="00E446B4" w:rsidRDefault="00E446B4" w:rsidP="00E446B4">
      <w:pPr>
        <w:widowControl/>
        <w:numPr>
          <w:ilvl w:val="0"/>
          <w:numId w:val="13"/>
        </w:numPr>
        <w:suppressAutoHyphens w:val="0"/>
        <w:autoSpaceDN/>
        <w:jc w:val="both"/>
        <w:textAlignment w:val="auto"/>
      </w:pPr>
      <w:r>
        <w:t xml:space="preserve">Izvještaja o obvezama (Obrazac OBVEZE) </w:t>
      </w:r>
    </w:p>
    <w:p w14:paraId="40A47051" w14:textId="5AE7ED65" w:rsidR="00E446B4" w:rsidRDefault="00E446B4" w:rsidP="00E446B4">
      <w:pPr>
        <w:widowControl/>
        <w:numPr>
          <w:ilvl w:val="0"/>
          <w:numId w:val="13"/>
        </w:numPr>
        <w:suppressAutoHyphens w:val="0"/>
        <w:autoSpaceDN/>
        <w:jc w:val="both"/>
        <w:textAlignment w:val="auto"/>
      </w:pPr>
      <w:r>
        <w:t>Bilješki</w:t>
      </w:r>
    </w:p>
    <w:p w14:paraId="502B3206" w14:textId="77777777" w:rsidR="005865B6" w:rsidRDefault="005865B6" w:rsidP="005865B6">
      <w:pPr>
        <w:widowControl/>
        <w:suppressAutoHyphens w:val="0"/>
        <w:autoSpaceDN/>
        <w:ind w:left="360"/>
        <w:jc w:val="both"/>
        <w:textAlignment w:val="auto"/>
      </w:pPr>
    </w:p>
    <w:p w14:paraId="7F75B4FB" w14:textId="3A6A7020" w:rsidR="00E446B4" w:rsidRDefault="00E446B4" w:rsidP="00E446B4">
      <w:pPr>
        <w:jc w:val="both"/>
      </w:pPr>
      <w:r>
        <w:t xml:space="preserve">Proračun Općine Veliki Bukovec za 2021. godinu i projekcije za 2022. i 2023. godinu donesen je na </w:t>
      </w:r>
      <w:r w:rsidR="00DC24C2">
        <w:t xml:space="preserve">37. </w:t>
      </w:r>
      <w:r>
        <w:t xml:space="preserve">sjednici Općinskog vijeća Općine Veliki Bukovec održanoj dana </w:t>
      </w:r>
      <w:r w:rsidR="00DC24C2">
        <w:t>14. prosinca</w:t>
      </w:r>
      <w:r>
        <w:t xml:space="preserve"> 202</w:t>
      </w:r>
      <w:r w:rsidR="00DC24C2">
        <w:t>0</w:t>
      </w:r>
      <w:r>
        <w:t xml:space="preserve">. godine (Službeni vjesnik Varaždinske županije br. </w:t>
      </w:r>
      <w:r w:rsidR="00DC24C2">
        <w:t>97</w:t>
      </w:r>
      <w:r>
        <w:t>/20).</w:t>
      </w:r>
    </w:p>
    <w:p w14:paraId="61ACEE0D" w14:textId="77777777" w:rsidR="00E446B4" w:rsidRDefault="00E446B4" w:rsidP="00E446B4">
      <w:pPr>
        <w:jc w:val="both"/>
      </w:pPr>
    </w:p>
    <w:p w14:paraId="42356614" w14:textId="14A51B0E" w:rsidR="00E446B4" w:rsidRDefault="00E446B4" w:rsidP="00E446B4">
      <w:pPr>
        <w:jc w:val="both"/>
      </w:pPr>
      <w:r>
        <w:t>Na</w:t>
      </w:r>
      <w:r w:rsidR="00DC24C2">
        <w:t xml:space="preserve"> 8</w:t>
      </w:r>
      <w:r>
        <w:t>. sjednici Općinskog vijeća Općine Veliki Bukovec održanoj</w:t>
      </w:r>
      <w:r w:rsidR="00DC24C2">
        <w:t xml:space="preserve"> 27. prosinca</w:t>
      </w:r>
      <w:r>
        <w:t xml:space="preserve"> 2021. godine donesene su I. Izmjene i dopune Proračuna Općine Veliki Bukovec za 2021. godinu i projekcije za 2022. i 2023. godinu (Službeni vjesnik Varaždinske županije br.</w:t>
      </w:r>
      <w:r w:rsidR="00DC24C2">
        <w:t>119</w:t>
      </w:r>
      <w:r>
        <w:t xml:space="preserve"> /21).</w:t>
      </w:r>
    </w:p>
    <w:p w14:paraId="1599E2B0" w14:textId="77777777" w:rsidR="00E446B4" w:rsidRDefault="00E446B4" w:rsidP="00E446B4">
      <w:pPr>
        <w:jc w:val="both"/>
      </w:pPr>
    </w:p>
    <w:p w14:paraId="707EC664" w14:textId="3C426EEF" w:rsidR="00E446B4" w:rsidRDefault="00E446B4" w:rsidP="00485F36">
      <w:pPr>
        <w:jc w:val="center"/>
        <w:rPr>
          <w:b/>
          <w:bCs/>
          <w:highlight w:val="green"/>
        </w:rPr>
      </w:pPr>
    </w:p>
    <w:p w14:paraId="5BA6ACE0" w14:textId="2442F65A" w:rsidR="005865B6" w:rsidRDefault="005865B6" w:rsidP="00485F36">
      <w:pPr>
        <w:jc w:val="center"/>
        <w:rPr>
          <w:b/>
          <w:bCs/>
          <w:highlight w:val="green"/>
        </w:rPr>
      </w:pPr>
    </w:p>
    <w:p w14:paraId="37F1A088" w14:textId="77777777" w:rsidR="005865B6" w:rsidRDefault="005865B6" w:rsidP="00485F36">
      <w:pPr>
        <w:jc w:val="center"/>
        <w:rPr>
          <w:b/>
          <w:bCs/>
          <w:highlight w:val="green"/>
        </w:rPr>
      </w:pPr>
    </w:p>
    <w:p w14:paraId="3EED11DD" w14:textId="77777777" w:rsidR="00E446B4" w:rsidRDefault="00E446B4" w:rsidP="00485F36">
      <w:pPr>
        <w:jc w:val="center"/>
        <w:rPr>
          <w:b/>
          <w:bCs/>
          <w:highlight w:val="green"/>
        </w:rPr>
      </w:pPr>
    </w:p>
    <w:p w14:paraId="6A5DED21" w14:textId="77777777" w:rsidR="00E446B4" w:rsidRDefault="00E446B4" w:rsidP="00485F36">
      <w:pPr>
        <w:jc w:val="center"/>
        <w:rPr>
          <w:b/>
          <w:bCs/>
          <w:highlight w:val="green"/>
        </w:rPr>
      </w:pPr>
    </w:p>
    <w:p w14:paraId="495CC70D" w14:textId="77777777" w:rsidR="00E446B4" w:rsidRDefault="00E446B4" w:rsidP="00485F36">
      <w:pPr>
        <w:jc w:val="center"/>
        <w:rPr>
          <w:b/>
          <w:bCs/>
          <w:highlight w:val="green"/>
        </w:rPr>
      </w:pPr>
    </w:p>
    <w:p w14:paraId="32712DCA" w14:textId="77777777" w:rsidR="00E446B4" w:rsidRDefault="00E446B4" w:rsidP="00485F36">
      <w:pPr>
        <w:jc w:val="center"/>
        <w:rPr>
          <w:b/>
          <w:bCs/>
          <w:highlight w:val="green"/>
        </w:rPr>
      </w:pPr>
    </w:p>
    <w:p w14:paraId="1A442D57" w14:textId="77777777" w:rsidR="00E446B4" w:rsidRDefault="00E446B4" w:rsidP="00485F36">
      <w:pPr>
        <w:jc w:val="center"/>
        <w:rPr>
          <w:b/>
          <w:bCs/>
          <w:highlight w:val="green"/>
        </w:rPr>
      </w:pPr>
    </w:p>
    <w:p w14:paraId="05BA7122" w14:textId="3AF669C3" w:rsidR="00485F36" w:rsidRPr="005865B6" w:rsidRDefault="001436E7" w:rsidP="00485F36">
      <w:pPr>
        <w:jc w:val="center"/>
        <w:rPr>
          <w:b/>
          <w:bCs/>
        </w:rPr>
      </w:pPr>
      <w:r w:rsidRPr="005865B6">
        <w:rPr>
          <w:b/>
          <w:bCs/>
        </w:rPr>
        <w:t>BILJEŠKE UZ FINANCIJSKI IZVJEŠTAJ</w:t>
      </w:r>
    </w:p>
    <w:p w14:paraId="5C92E2DE" w14:textId="77777777" w:rsidR="00606EB2" w:rsidRPr="005865B6" w:rsidRDefault="001436E7">
      <w:pPr>
        <w:jc w:val="center"/>
        <w:rPr>
          <w:b/>
          <w:bCs/>
        </w:rPr>
      </w:pPr>
      <w:r w:rsidRPr="005865B6">
        <w:rPr>
          <w:b/>
          <w:bCs/>
        </w:rPr>
        <w:t xml:space="preserve"> OBRAZAC PR- RAS </w:t>
      </w:r>
    </w:p>
    <w:p w14:paraId="0A163D5D" w14:textId="4355FBC8" w:rsidR="00606EB2" w:rsidRPr="005865B6" w:rsidRDefault="001436E7">
      <w:pPr>
        <w:jc w:val="center"/>
        <w:rPr>
          <w:b/>
          <w:bCs/>
        </w:rPr>
      </w:pPr>
      <w:r w:rsidRPr="005865B6">
        <w:rPr>
          <w:b/>
          <w:bCs/>
        </w:rPr>
        <w:t>za razdoblje od 01.01.20</w:t>
      </w:r>
      <w:r w:rsidR="00426E85" w:rsidRPr="005865B6">
        <w:rPr>
          <w:b/>
          <w:bCs/>
        </w:rPr>
        <w:t>2</w:t>
      </w:r>
      <w:r w:rsidR="00632CDC" w:rsidRPr="005865B6">
        <w:rPr>
          <w:b/>
          <w:bCs/>
        </w:rPr>
        <w:t>1</w:t>
      </w:r>
      <w:r w:rsidRPr="005865B6">
        <w:rPr>
          <w:b/>
          <w:bCs/>
        </w:rPr>
        <w:t>. do 3</w:t>
      </w:r>
      <w:r w:rsidR="0026536C" w:rsidRPr="005865B6">
        <w:rPr>
          <w:b/>
          <w:bCs/>
        </w:rPr>
        <w:t>1</w:t>
      </w:r>
      <w:r w:rsidR="00E0629C" w:rsidRPr="005865B6">
        <w:rPr>
          <w:b/>
          <w:bCs/>
        </w:rPr>
        <w:t>.</w:t>
      </w:r>
      <w:r w:rsidR="0026536C" w:rsidRPr="005865B6">
        <w:rPr>
          <w:b/>
          <w:bCs/>
        </w:rPr>
        <w:t>12</w:t>
      </w:r>
      <w:r w:rsidRPr="005865B6">
        <w:rPr>
          <w:b/>
          <w:bCs/>
        </w:rPr>
        <w:t>.20</w:t>
      </w:r>
      <w:r w:rsidR="00426E85" w:rsidRPr="005865B6">
        <w:rPr>
          <w:b/>
          <w:bCs/>
        </w:rPr>
        <w:t>2</w:t>
      </w:r>
      <w:r w:rsidR="00632CDC" w:rsidRPr="005865B6">
        <w:rPr>
          <w:b/>
          <w:bCs/>
        </w:rPr>
        <w:t>1</w:t>
      </w:r>
      <w:r w:rsidRPr="005865B6">
        <w:rPr>
          <w:b/>
          <w:bCs/>
        </w:rPr>
        <w:t>. godine</w:t>
      </w:r>
    </w:p>
    <w:p w14:paraId="123CBCAE" w14:textId="77777777" w:rsidR="00606EB2" w:rsidRPr="005865B6" w:rsidRDefault="00606EB2">
      <w:pPr>
        <w:jc w:val="center"/>
        <w:rPr>
          <w:b/>
          <w:bCs/>
        </w:rPr>
      </w:pPr>
    </w:p>
    <w:p w14:paraId="3F1F12E9" w14:textId="77777777" w:rsidR="00606EB2" w:rsidRPr="005865B6" w:rsidRDefault="00606EB2">
      <w:pPr>
        <w:pStyle w:val="Standard"/>
        <w:rPr>
          <w:color w:val="000000"/>
        </w:rPr>
      </w:pPr>
    </w:p>
    <w:p w14:paraId="30A30EE4" w14:textId="77777777" w:rsidR="006133B2" w:rsidRPr="005865B6" w:rsidRDefault="006133B2" w:rsidP="006133B2">
      <w:pPr>
        <w:pStyle w:val="Odlomakpopisa"/>
        <w:numPr>
          <w:ilvl w:val="0"/>
          <w:numId w:val="3"/>
        </w:numPr>
        <w:textAlignment w:val="auto"/>
        <w:rPr>
          <w:b/>
        </w:rPr>
      </w:pPr>
      <w:r w:rsidRPr="005865B6">
        <w:rPr>
          <w:b/>
        </w:rPr>
        <w:t>PRIHODI POSLOVANJA (6)</w:t>
      </w:r>
    </w:p>
    <w:p w14:paraId="7A7F1305" w14:textId="77777777" w:rsidR="006133B2" w:rsidRPr="005865B6" w:rsidRDefault="006133B2" w:rsidP="006133B2">
      <w:pPr>
        <w:pStyle w:val="Standard"/>
        <w:jc w:val="both"/>
        <w:rPr>
          <w:rFonts w:ascii="Arial" w:hAnsi="Arial" w:cs="Arial"/>
        </w:rPr>
      </w:pPr>
    </w:p>
    <w:p w14:paraId="36076455" w14:textId="51166C59" w:rsidR="006133B2" w:rsidRPr="005865B6" w:rsidRDefault="006133B2" w:rsidP="006133B2">
      <w:pPr>
        <w:pStyle w:val="Standard"/>
        <w:jc w:val="both"/>
      </w:pPr>
      <w:bookmarkStart w:id="0" w:name="_Hlk96327088"/>
      <w:r w:rsidRPr="005865B6">
        <w:t>Iz izvještaja je vidljivo kako su prihodi poslovanja AOP 001 ostvareni 11</w:t>
      </w:r>
      <w:r w:rsidR="0029705F" w:rsidRPr="005865B6">
        <w:t>8</w:t>
      </w:r>
      <w:r w:rsidRPr="005865B6">
        <w:t>,</w:t>
      </w:r>
      <w:r w:rsidR="0029705F" w:rsidRPr="005865B6">
        <w:t>5</w:t>
      </w:r>
      <w:r w:rsidRPr="005865B6">
        <w:t xml:space="preserve"> % u odnosu na ostvarenje prethodne godine. Unutar pojedinih pozicija ima većih i manjih odstupanja u odnosu na izvještajno razdoblje prethodne godine.</w:t>
      </w:r>
      <w:bookmarkEnd w:id="0"/>
    </w:p>
    <w:p w14:paraId="64477157" w14:textId="77777777" w:rsidR="00DC24C2" w:rsidRPr="005865B6" w:rsidRDefault="00DC24C2" w:rsidP="006133B2">
      <w:pPr>
        <w:pStyle w:val="Standard"/>
        <w:jc w:val="both"/>
      </w:pPr>
    </w:p>
    <w:p w14:paraId="54A0F189" w14:textId="77777777" w:rsidR="006133B2" w:rsidRPr="005865B6" w:rsidRDefault="006133B2" w:rsidP="006133B2">
      <w:pPr>
        <w:pStyle w:val="Standard"/>
        <w:jc w:val="both"/>
        <w:rPr>
          <w:rFonts w:cs="Arial"/>
          <w:b/>
          <w:bCs/>
          <w:sz w:val="26"/>
          <w:szCs w:val="26"/>
        </w:rPr>
      </w:pPr>
      <w:r w:rsidRPr="005865B6">
        <w:rPr>
          <w:rFonts w:cs="Arial"/>
          <w:b/>
          <w:bCs/>
          <w:sz w:val="26"/>
          <w:szCs w:val="26"/>
        </w:rPr>
        <w:t>AOP 002 Prihodi od poreza (61)</w:t>
      </w:r>
    </w:p>
    <w:p w14:paraId="3D5EFABF" w14:textId="77777777" w:rsidR="006133B2" w:rsidRPr="005865B6" w:rsidRDefault="006133B2" w:rsidP="006133B2">
      <w:pPr>
        <w:pStyle w:val="Standard"/>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6133B2" w:rsidRPr="005865B6" w14:paraId="602109C7" w14:textId="77777777" w:rsidTr="006133B2">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C65364" w14:textId="77777777" w:rsidR="006133B2" w:rsidRPr="005865B6" w:rsidRDefault="006133B2">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7A13A5" w14:textId="77777777" w:rsidR="006133B2" w:rsidRPr="005865B6" w:rsidRDefault="006133B2">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508592" w14:textId="77777777" w:rsidR="006133B2" w:rsidRPr="005865B6" w:rsidRDefault="006133B2">
            <w:pPr>
              <w:pStyle w:val="TableContents"/>
              <w:jc w:val="center"/>
            </w:pPr>
            <w:r w:rsidRPr="005865B6">
              <w:t>Indeks</w:t>
            </w:r>
          </w:p>
        </w:tc>
      </w:tr>
      <w:tr w:rsidR="006133B2" w:rsidRPr="005865B6" w14:paraId="3221D9EE" w14:textId="77777777" w:rsidTr="006133B2">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E810C07" w14:textId="77777777" w:rsidR="006133B2" w:rsidRPr="005865B6" w:rsidRDefault="006133B2">
            <w:pPr>
              <w:pStyle w:val="TableContents"/>
              <w:jc w:val="center"/>
            </w:pPr>
            <w:r w:rsidRPr="005865B6">
              <w:t>2.411.738</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67B76898" w14:textId="5A85A743" w:rsidR="006133B2" w:rsidRPr="005865B6" w:rsidRDefault="006133B2">
            <w:pPr>
              <w:pStyle w:val="TableContents"/>
              <w:jc w:val="center"/>
            </w:pPr>
            <w:r w:rsidRPr="005865B6">
              <w:t>2.2</w:t>
            </w:r>
            <w:r w:rsidR="0029705F" w:rsidRPr="005865B6">
              <w:t>05.568</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2347965" w14:textId="3894AA8A" w:rsidR="006133B2" w:rsidRPr="005865B6" w:rsidRDefault="006133B2">
            <w:pPr>
              <w:pStyle w:val="TableContents"/>
              <w:jc w:val="center"/>
            </w:pPr>
            <w:r w:rsidRPr="005865B6">
              <w:t>9</w:t>
            </w:r>
            <w:r w:rsidR="0029705F" w:rsidRPr="005865B6">
              <w:t>1</w:t>
            </w:r>
            <w:r w:rsidRPr="005865B6">
              <w:t>,</w:t>
            </w:r>
            <w:r w:rsidR="0029705F" w:rsidRPr="005865B6">
              <w:t>5</w:t>
            </w:r>
            <w:r w:rsidR="00AD4F44" w:rsidRPr="005865B6">
              <w:t>%</w:t>
            </w:r>
          </w:p>
        </w:tc>
      </w:tr>
    </w:tbl>
    <w:p w14:paraId="57B248D1" w14:textId="77777777" w:rsidR="006133B2" w:rsidRPr="005865B6" w:rsidRDefault="006133B2" w:rsidP="006133B2">
      <w:pPr>
        <w:pStyle w:val="Standard"/>
        <w:jc w:val="both"/>
        <w:rPr>
          <w:rFonts w:ascii="Arial" w:hAnsi="Arial"/>
        </w:rPr>
      </w:pPr>
    </w:p>
    <w:p w14:paraId="6DA06419" w14:textId="77777777" w:rsidR="006133B2" w:rsidRPr="005865B6" w:rsidRDefault="006133B2" w:rsidP="006133B2">
      <w:pPr>
        <w:pStyle w:val="Standard"/>
        <w:rPr>
          <w:b/>
          <w:bCs/>
        </w:rPr>
      </w:pPr>
      <w:r w:rsidRPr="005865B6">
        <w:rPr>
          <w:b/>
          <w:bCs/>
        </w:rPr>
        <w:t>Unutar podskupine poreza i prireza na dohodak (AOP 003) (611) odstupanje bilježi:</w:t>
      </w:r>
    </w:p>
    <w:p w14:paraId="3D2CFBAF" w14:textId="09401FF2" w:rsidR="006133B2" w:rsidRPr="005865B6" w:rsidRDefault="006133B2" w:rsidP="006133B2">
      <w:pPr>
        <w:pStyle w:val="Standard"/>
      </w:pPr>
      <w:r w:rsidRPr="005865B6">
        <w:t xml:space="preserve">(AOP 004) porez i prirez na dohodak od nesamostalnog rada koji je u odnosu na prethodnu godinu smanjen za </w:t>
      </w:r>
      <w:r w:rsidR="0029705F" w:rsidRPr="005865B6">
        <w:t xml:space="preserve">15,6 </w:t>
      </w:r>
      <w:r w:rsidRPr="005865B6">
        <w:t>% i iznosi 1.</w:t>
      </w:r>
      <w:r w:rsidR="0029705F" w:rsidRPr="005865B6">
        <w:t>763.871</w:t>
      </w:r>
      <w:r w:rsidRPr="005865B6">
        <w:t xml:space="preserve"> kn</w:t>
      </w:r>
      <w:r w:rsidR="009909F5" w:rsidRPr="005865B6">
        <w:t>.</w:t>
      </w:r>
    </w:p>
    <w:p w14:paraId="2A83EAEB" w14:textId="730DA731" w:rsidR="00B86F9D" w:rsidRPr="005865B6" w:rsidRDefault="00B86F9D" w:rsidP="006133B2">
      <w:pPr>
        <w:pStyle w:val="Standard"/>
      </w:pPr>
      <w:r w:rsidRPr="005865B6">
        <w:t>U izvještajnom razdoblju ove godine nema ostvarenih prihoda s osnove fiskalnog izravnanja.</w:t>
      </w:r>
    </w:p>
    <w:p w14:paraId="01C031EF" w14:textId="3977FDB3" w:rsidR="006133B2" w:rsidRPr="005865B6" w:rsidRDefault="006133B2" w:rsidP="006133B2">
      <w:pPr>
        <w:pStyle w:val="Standard"/>
      </w:pPr>
      <w:r w:rsidRPr="005865B6">
        <w:t>(AOP 005) porez i prirez na dohodak od samostalnih djelatnosti bilježi povećanje za  51,7 % i iznosi 143.269 kn</w:t>
      </w:r>
      <w:r w:rsidR="009909F5" w:rsidRPr="005865B6">
        <w:t>.</w:t>
      </w:r>
    </w:p>
    <w:p w14:paraId="45484AA2" w14:textId="4B4C87C8" w:rsidR="006133B2" w:rsidRPr="005865B6" w:rsidRDefault="006133B2" w:rsidP="006133B2">
      <w:pPr>
        <w:pStyle w:val="Standard"/>
      </w:pPr>
      <w:r w:rsidRPr="005865B6">
        <w:t>(AOP 006) porez i prirez na dohodak od imovine i imovinskih prava bilježi povećanje za 22,5 % i iznosi 31.450 kn</w:t>
      </w:r>
      <w:r w:rsidR="009909F5" w:rsidRPr="005865B6">
        <w:t>.</w:t>
      </w:r>
    </w:p>
    <w:p w14:paraId="0163F429" w14:textId="5201CFA2" w:rsidR="006133B2" w:rsidRPr="005865B6" w:rsidRDefault="006133B2" w:rsidP="006133B2">
      <w:pPr>
        <w:pStyle w:val="Standard"/>
        <w:jc w:val="both"/>
      </w:pPr>
      <w:r w:rsidRPr="005865B6">
        <w:t>(AOP 007) porez i prirez na dohodak od kapitala bilježi povećanje  za 2.825,3% i iznosi 491.249 kn</w:t>
      </w:r>
      <w:r w:rsidR="009909F5" w:rsidRPr="005865B6">
        <w:t>.</w:t>
      </w:r>
    </w:p>
    <w:p w14:paraId="729A8210" w14:textId="2A875ABC" w:rsidR="006133B2" w:rsidRPr="005865B6" w:rsidRDefault="006133B2" w:rsidP="006133B2">
      <w:pPr>
        <w:pStyle w:val="Standard"/>
      </w:pPr>
      <w:r w:rsidRPr="005865B6">
        <w:t>(AOP 009) porez i prirez na dohodak utvrđen u postupku nadzora za prethodne godine bilježi povećanje za 108,9 % i iznosi 129.405 kn</w:t>
      </w:r>
      <w:r w:rsidR="009909F5" w:rsidRPr="005865B6">
        <w:t>.</w:t>
      </w:r>
    </w:p>
    <w:p w14:paraId="2C7C905C" w14:textId="313069D9" w:rsidR="006133B2" w:rsidRPr="005865B6" w:rsidRDefault="00AB35D6" w:rsidP="006133B2">
      <w:pPr>
        <w:pStyle w:val="Standard"/>
      </w:pPr>
      <w:r w:rsidRPr="005865B6">
        <w:t xml:space="preserve">(AOP 010) povrat prireza i poreza </w:t>
      </w:r>
      <w:r w:rsidR="00647C6E" w:rsidRPr="005865B6">
        <w:t>na dohodak iznosi 487.255 kn.</w:t>
      </w:r>
    </w:p>
    <w:p w14:paraId="375FA4A5" w14:textId="77777777" w:rsidR="00647C6E" w:rsidRPr="005865B6" w:rsidRDefault="00647C6E" w:rsidP="006133B2">
      <w:pPr>
        <w:pStyle w:val="Standard"/>
        <w:rPr>
          <w:b/>
          <w:bCs/>
        </w:rPr>
      </w:pPr>
    </w:p>
    <w:p w14:paraId="41BAD1B1" w14:textId="1D5DED27" w:rsidR="006133B2" w:rsidRPr="005865B6" w:rsidRDefault="00AC34BD" w:rsidP="006133B2">
      <w:pPr>
        <w:pStyle w:val="Standard"/>
        <w:rPr>
          <w:b/>
          <w:bCs/>
        </w:rPr>
      </w:pPr>
      <w:r w:rsidRPr="005865B6">
        <w:rPr>
          <w:b/>
          <w:bCs/>
        </w:rPr>
        <w:t>Unutar podskupine poreza na imovinu (AOP 018) (</w:t>
      </w:r>
      <w:r w:rsidR="005573BB" w:rsidRPr="005865B6">
        <w:rPr>
          <w:b/>
          <w:bCs/>
        </w:rPr>
        <w:t>613) odstupanje bilježi:</w:t>
      </w:r>
    </w:p>
    <w:p w14:paraId="0E2E86D4" w14:textId="0C52397A" w:rsidR="005573BB" w:rsidRPr="005865B6" w:rsidRDefault="005573BB" w:rsidP="002E4F6D">
      <w:pPr>
        <w:pStyle w:val="Standard"/>
        <w:jc w:val="both"/>
      </w:pPr>
      <w:r w:rsidRPr="005865B6">
        <w:t>(AOP 022) povremeni porezi na imovinu  bilježe povećanje za 14,7% i iznose 121.617 kn</w:t>
      </w:r>
      <w:r w:rsidR="00B86F9D" w:rsidRPr="005865B6">
        <w:t xml:space="preserve"> a odnose </w:t>
      </w:r>
      <w:r w:rsidR="002E4F6D" w:rsidRPr="005865B6">
        <w:t xml:space="preserve">se na prihode </w:t>
      </w:r>
      <w:r w:rsidR="00AE7516" w:rsidRPr="005865B6">
        <w:t xml:space="preserve">od </w:t>
      </w:r>
      <w:r w:rsidR="002E4F6D" w:rsidRPr="005865B6">
        <w:t>porez</w:t>
      </w:r>
      <w:r w:rsidR="00AE7516" w:rsidRPr="005865B6">
        <w:t>a</w:t>
      </w:r>
      <w:r w:rsidR="002E4F6D" w:rsidRPr="005865B6">
        <w:t xml:space="preserve"> na korištenje javne površine i od poreza na promet nekretnina.</w:t>
      </w:r>
    </w:p>
    <w:p w14:paraId="43661F7F" w14:textId="77777777" w:rsidR="00927872" w:rsidRPr="005865B6" w:rsidRDefault="00927872">
      <w:pPr>
        <w:pStyle w:val="Standard"/>
        <w:rPr>
          <w:b/>
          <w:bCs/>
        </w:rPr>
      </w:pPr>
    </w:p>
    <w:p w14:paraId="3B9C739B" w14:textId="77777777" w:rsidR="008D5686" w:rsidRPr="005865B6" w:rsidRDefault="008D5686" w:rsidP="008D5686">
      <w:pPr>
        <w:pStyle w:val="Standard"/>
        <w:rPr>
          <w:b/>
          <w:bCs/>
        </w:rPr>
      </w:pPr>
      <w:r w:rsidRPr="005865B6">
        <w:rPr>
          <w:b/>
          <w:bCs/>
        </w:rPr>
        <w:t xml:space="preserve">Unutar podskupine poreza na robu i usluge (AOP 024) (614) veće odstupanje bilježi: </w:t>
      </w:r>
    </w:p>
    <w:p w14:paraId="7C0BD526" w14:textId="25B0B2D1" w:rsidR="008D5686" w:rsidRPr="005865B6" w:rsidRDefault="008D5686" w:rsidP="008D5686">
      <w:pPr>
        <w:pStyle w:val="Standard"/>
        <w:jc w:val="both"/>
      </w:pPr>
      <w:r w:rsidRPr="005865B6">
        <w:t>(AOP 026) porez na promet koji je u odnosu na prethodnu godinu manji  za 36,7 % a  iznosi 6.821 kn. Razlog smanjenju je manji promet poreza na potrošnju alkoholnih i bezalkoholnih pića</w:t>
      </w:r>
      <w:r w:rsidR="009909F5" w:rsidRPr="005865B6">
        <w:t>.</w:t>
      </w:r>
    </w:p>
    <w:p w14:paraId="6CFD1CD2" w14:textId="06C8D193" w:rsidR="008D5686" w:rsidRPr="005865B6" w:rsidRDefault="008D5686" w:rsidP="008D5686">
      <w:pPr>
        <w:pStyle w:val="Standard"/>
        <w:jc w:val="both"/>
        <w:rPr>
          <w:color w:val="000000" w:themeColor="text1"/>
        </w:rPr>
      </w:pPr>
      <w:r w:rsidRPr="005865B6">
        <w:t>(</w:t>
      </w:r>
      <w:r w:rsidRPr="005865B6">
        <w:rPr>
          <w:color w:val="000000" w:themeColor="text1"/>
        </w:rPr>
        <w:t xml:space="preserve">AOP 028) porez na korištenje dobara ili izvođenje aktivnosti </w:t>
      </w:r>
      <w:r w:rsidR="001E2E31" w:rsidRPr="005865B6">
        <w:rPr>
          <w:color w:val="000000" w:themeColor="text1"/>
        </w:rPr>
        <w:t xml:space="preserve">bilježi povećanje </w:t>
      </w:r>
      <w:r w:rsidRPr="005865B6">
        <w:rPr>
          <w:color w:val="000000" w:themeColor="text1"/>
        </w:rPr>
        <w:t xml:space="preserve">za 1.821,0 % </w:t>
      </w:r>
      <w:r w:rsidR="00D103C4" w:rsidRPr="005865B6">
        <w:rPr>
          <w:color w:val="000000" w:themeColor="text1"/>
        </w:rPr>
        <w:t>i</w:t>
      </w:r>
      <w:r w:rsidRPr="005865B6">
        <w:rPr>
          <w:color w:val="000000" w:themeColor="text1"/>
        </w:rPr>
        <w:t xml:space="preserve">  iznosi 1.191 kn. Razlog povećanju je naplata zaostalih dugovanja</w:t>
      </w:r>
      <w:r w:rsidR="001E2E31" w:rsidRPr="005865B6">
        <w:rPr>
          <w:color w:val="000000" w:themeColor="text1"/>
        </w:rPr>
        <w:t xml:space="preserve"> </w:t>
      </w:r>
      <w:r w:rsidR="00A33F19" w:rsidRPr="005865B6">
        <w:rPr>
          <w:color w:val="000000" w:themeColor="text1"/>
        </w:rPr>
        <w:t>s osnove poreza na tvrtku</w:t>
      </w:r>
      <w:r w:rsidR="009909F5" w:rsidRPr="005865B6">
        <w:rPr>
          <w:color w:val="000000" w:themeColor="text1"/>
        </w:rPr>
        <w:t>.</w:t>
      </w:r>
    </w:p>
    <w:p w14:paraId="0835E41E" w14:textId="611C991E" w:rsidR="00A33F19" w:rsidRPr="005865B6" w:rsidRDefault="00A33F19" w:rsidP="008D5686">
      <w:pPr>
        <w:pStyle w:val="Standard"/>
        <w:jc w:val="both"/>
        <w:rPr>
          <w:color w:val="000000" w:themeColor="text1"/>
        </w:rPr>
      </w:pPr>
      <w:r w:rsidRPr="005865B6">
        <w:rPr>
          <w:color w:val="000000" w:themeColor="text1"/>
        </w:rPr>
        <w:t>(AOP 035) ostali prihodi od poreza koji su u odnosu na prethodnu godinu manji za 32,8% a odnose se na prihode od ostalih neraspoređenih prihoda od poreza</w:t>
      </w:r>
      <w:r w:rsidR="009909F5" w:rsidRPr="005865B6">
        <w:rPr>
          <w:color w:val="000000" w:themeColor="text1"/>
        </w:rPr>
        <w:t>.</w:t>
      </w:r>
    </w:p>
    <w:p w14:paraId="4547949B" w14:textId="77777777" w:rsidR="008D5686" w:rsidRPr="005865B6" w:rsidRDefault="008D5686" w:rsidP="008D5686">
      <w:pPr>
        <w:pStyle w:val="Standard"/>
        <w:jc w:val="both"/>
        <w:rPr>
          <w:b/>
          <w:bCs/>
          <w:color w:val="FF0000"/>
          <w:sz w:val="26"/>
          <w:szCs w:val="26"/>
          <w:shd w:val="clear" w:color="auto" w:fill="C0C0C0"/>
        </w:rPr>
      </w:pPr>
    </w:p>
    <w:p w14:paraId="661CE2EF" w14:textId="3DF1FA17" w:rsidR="008D5686" w:rsidRPr="005865B6" w:rsidRDefault="008D5686" w:rsidP="008D5686">
      <w:pPr>
        <w:pStyle w:val="Standard"/>
        <w:jc w:val="both"/>
      </w:pPr>
      <w:r w:rsidRPr="005865B6">
        <w:rPr>
          <w:rFonts w:cs="Arial"/>
          <w:b/>
          <w:bCs/>
          <w:sz w:val="26"/>
          <w:szCs w:val="26"/>
        </w:rPr>
        <w:t>AOP 045 Pomoći iz inozemstva i od subjekata unutar općeg proračuna</w:t>
      </w:r>
      <w:r w:rsidR="004E5A23" w:rsidRPr="005865B6">
        <w:rPr>
          <w:rFonts w:cs="Arial"/>
          <w:b/>
          <w:bCs/>
          <w:sz w:val="26"/>
          <w:szCs w:val="26"/>
        </w:rPr>
        <w:t xml:space="preserve"> (63)</w:t>
      </w:r>
    </w:p>
    <w:p w14:paraId="7D3AE8DA" w14:textId="77777777" w:rsidR="008D5686" w:rsidRPr="005865B6" w:rsidRDefault="008D5686" w:rsidP="008D5686">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D5686" w:rsidRPr="005865B6" w14:paraId="4C6C049A" w14:textId="77777777" w:rsidTr="008D5686">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803E0F7" w14:textId="77777777" w:rsidR="008D5686" w:rsidRPr="005865B6" w:rsidRDefault="008D5686">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A419E" w14:textId="77777777" w:rsidR="008D5686" w:rsidRPr="005865B6" w:rsidRDefault="008D5686">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B1414B9" w14:textId="77777777" w:rsidR="008D5686" w:rsidRPr="005865B6" w:rsidRDefault="008D5686">
            <w:pPr>
              <w:pStyle w:val="TableContents"/>
              <w:jc w:val="center"/>
            </w:pPr>
            <w:r w:rsidRPr="005865B6">
              <w:t>Indeks</w:t>
            </w:r>
          </w:p>
        </w:tc>
      </w:tr>
      <w:tr w:rsidR="008D5686" w:rsidRPr="005865B6" w14:paraId="23FF693C" w14:textId="77777777" w:rsidTr="008D5686">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6F96A79" w14:textId="77777777" w:rsidR="008D5686" w:rsidRPr="005865B6" w:rsidRDefault="008D5686">
            <w:pPr>
              <w:pStyle w:val="TableContents"/>
              <w:jc w:val="center"/>
            </w:pPr>
            <w:r w:rsidRPr="005865B6">
              <w:t>486.017</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09769EB1" w14:textId="77777777" w:rsidR="008D5686" w:rsidRPr="005865B6" w:rsidRDefault="008D5686">
            <w:pPr>
              <w:pStyle w:val="TableContents"/>
              <w:jc w:val="center"/>
            </w:pPr>
            <w:r w:rsidRPr="005865B6">
              <w:t>1.653.869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B2B402" w14:textId="21688980" w:rsidR="008D5686" w:rsidRPr="005865B6" w:rsidRDefault="008D5686">
            <w:pPr>
              <w:pStyle w:val="TableContents"/>
              <w:jc w:val="center"/>
            </w:pPr>
            <w:r w:rsidRPr="005865B6">
              <w:t>340,3</w:t>
            </w:r>
            <w:r w:rsidR="00AD4F44" w:rsidRPr="005865B6">
              <w:t>%</w:t>
            </w:r>
          </w:p>
          <w:p w14:paraId="30B0840C" w14:textId="77777777" w:rsidR="008D5686" w:rsidRPr="005865B6" w:rsidRDefault="008D5686">
            <w:pPr>
              <w:pStyle w:val="TableContents"/>
              <w:jc w:val="center"/>
            </w:pPr>
          </w:p>
          <w:p w14:paraId="7EC69998" w14:textId="77777777" w:rsidR="008D5686" w:rsidRPr="005865B6" w:rsidRDefault="008D5686">
            <w:pPr>
              <w:pStyle w:val="TableContents"/>
              <w:jc w:val="center"/>
            </w:pPr>
          </w:p>
        </w:tc>
      </w:tr>
    </w:tbl>
    <w:p w14:paraId="560DABF3" w14:textId="77777777" w:rsidR="00FF6080" w:rsidRPr="005865B6" w:rsidRDefault="00FF6080">
      <w:pPr>
        <w:pStyle w:val="Standard"/>
        <w:jc w:val="both"/>
      </w:pPr>
    </w:p>
    <w:p w14:paraId="270B48E7" w14:textId="272C8FEC" w:rsidR="00A56F32" w:rsidRPr="005865B6" w:rsidRDefault="00C75EBF">
      <w:pPr>
        <w:pStyle w:val="Standard"/>
        <w:jc w:val="both"/>
        <w:rPr>
          <w:b/>
          <w:bCs/>
        </w:rPr>
      </w:pPr>
      <w:r w:rsidRPr="005865B6">
        <w:rPr>
          <w:b/>
          <w:bCs/>
        </w:rPr>
        <w:lastRenderedPageBreak/>
        <w:t xml:space="preserve">Unutar podskupine pomoći proračunu iz drugih proračuna i izvanproračunskim korisnicima (AOP 054) </w:t>
      </w:r>
      <w:r w:rsidR="002F3B3F" w:rsidRPr="005865B6">
        <w:rPr>
          <w:b/>
          <w:bCs/>
        </w:rPr>
        <w:t xml:space="preserve">(633) </w:t>
      </w:r>
      <w:r w:rsidRPr="005865B6">
        <w:rPr>
          <w:b/>
          <w:bCs/>
        </w:rPr>
        <w:t>odstupanje bilježi:</w:t>
      </w:r>
    </w:p>
    <w:p w14:paraId="2903E54B" w14:textId="77777777" w:rsidR="009909F5" w:rsidRPr="005865B6" w:rsidRDefault="009909F5" w:rsidP="009909F5">
      <w:pPr>
        <w:pStyle w:val="Standard"/>
        <w:jc w:val="both"/>
      </w:pPr>
    </w:p>
    <w:p w14:paraId="0F432CEE" w14:textId="2A2A04B9" w:rsidR="00C75EBF" w:rsidRPr="005865B6" w:rsidRDefault="00C75EBF" w:rsidP="009909F5">
      <w:pPr>
        <w:pStyle w:val="Standard"/>
        <w:jc w:val="both"/>
      </w:pPr>
      <w:r w:rsidRPr="005865B6">
        <w:t xml:space="preserve">(AOP 055) tekuće pomoći proračunu iz drugih proračuna i izvanproračunskim korisnicima koje u odnosu na prethodnu godinu bilježe povećanje za </w:t>
      </w:r>
      <w:r w:rsidR="007D1963" w:rsidRPr="005865B6">
        <w:t>767,9</w:t>
      </w:r>
      <w:r w:rsidRPr="005865B6">
        <w:t xml:space="preserve"> %</w:t>
      </w:r>
      <w:r w:rsidR="00BE2BFC" w:rsidRPr="005865B6">
        <w:t xml:space="preserve"> i iznose </w:t>
      </w:r>
      <w:r w:rsidR="007D1963" w:rsidRPr="005865B6">
        <w:t>1.058.746</w:t>
      </w:r>
      <w:r w:rsidR="00BE2BFC" w:rsidRPr="005865B6">
        <w:t xml:space="preserve"> kn.</w:t>
      </w:r>
    </w:p>
    <w:p w14:paraId="0BB848AA" w14:textId="51EEB5BA" w:rsidR="00606EB2" w:rsidRPr="005865B6" w:rsidRDefault="00FB0ADF" w:rsidP="009909F5">
      <w:pPr>
        <w:pStyle w:val="Standard"/>
        <w:jc w:val="both"/>
      </w:pPr>
      <w:r w:rsidRPr="005865B6">
        <w:t>Sredstva uplaćena tijekom 202</w:t>
      </w:r>
      <w:r w:rsidR="00B94BA7" w:rsidRPr="005865B6">
        <w:t>1</w:t>
      </w:r>
      <w:r w:rsidRPr="005865B6">
        <w:t xml:space="preserve">. godine iz državnog proračuna u iznosu od </w:t>
      </w:r>
      <w:r w:rsidR="007D1963" w:rsidRPr="005865B6">
        <w:t>1.009.440,89</w:t>
      </w:r>
      <w:r w:rsidRPr="005865B6">
        <w:t xml:space="preserve"> kn  odnose se na isplate pomoći kao kompenzacijska mjera za fiskalne učinke izmjena u sustavu poreza na dohodak u visini razlike između prihoda od poreza na dohodak</w:t>
      </w:r>
      <w:r w:rsidR="00601D28" w:rsidRPr="005865B6">
        <w:t>.</w:t>
      </w:r>
    </w:p>
    <w:p w14:paraId="37C8614C" w14:textId="57B50D36" w:rsidR="00C730E0" w:rsidRPr="005865B6" w:rsidRDefault="00072771" w:rsidP="009909F5">
      <w:pPr>
        <w:pStyle w:val="Standard"/>
        <w:jc w:val="both"/>
      </w:pPr>
      <w:r w:rsidRPr="005865B6">
        <w:t xml:space="preserve">U izvještajnom razdoblju prošle godine s iste osnove ostvareno je </w:t>
      </w:r>
      <w:r w:rsidR="009472F0" w:rsidRPr="005865B6">
        <w:t>83.26</w:t>
      </w:r>
      <w:r w:rsidR="00BE2BFC" w:rsidRPr="005865B6">
        <w:t>1</w:t>
      </w:r>
      <w:r w:rsidRPr="005865B6">
        <w:t xml:space="preserve"> kn.</w:t>
      </w:r>
    </w:p>
    <w:p w14:paraId="01D89328" w14:textId="19DB9B7E" w:rsidR="00EF58E5" w:rsidRPr="005865B6" w:rsidRDefault="00047060" w:rsidP="009909F5">
      <w:pPr>
        <w:pStyle w:val="Standard"/>
        <w:jc w:val="both"/>
      </w:pPr>
      <w:r w:rsidRPr="005865B6">
        <w:t>Iz županijskog proračuna primljena je pomoć za lokalne izbore u iznosu od 40.906 kn</w:t>
      </w:r>
      <w:r w:rsidR="003E740E" w:rsidRPr="005865B6">
        <w:t xml:space="preserve"> i pomoć za ogrjev u iznosu od 8.400 kn</w:t>
      </w:r>
      <w:r w:rsidR="009909F5" w:rsidRPr="005865B6">
        <w:t>.</w:t>
      </w:r>
    </w:p>
    <w:p w14:paraId="331E3D7F" w14:textId="77777777" w:rsidR="009909F5" w:rsidRPr="005865B6" w:rsidRDefault="009909F5" w:rsidP="009909F5">
      <w:pPr>
        <w:pStyle w:val="Standard"/>
        <w:jc w:val="both"/>
      </w:pPr>
    </w:p>
    <w:p w14:paraId="1D497BA6" w14:textId="212AEDE4" w:rsidR="00C730E0" w:rsidRPr="005865B6" w:rsidRDefault="00EF58E5" w:rsidP="009909F5">
      <w:pPr>
        <w:pStyle w:val="Standard"/>
        <w:jc w:val="both"/>
      </w:pPr>
      <w:r w:rsidRPr="005865B6">
        <w:t xml:space="preserve">(AOP 056) kapitalne pomoći proračunu iz drugih proračuna i izvanproračunskim korisnicima iznose 111.187 kn </w:t>
      </w:r>
      <w:r w:rsidR="002F3B3F" w:rsidRPr="005865B6">
        <w:t>za modernizaciju centra naselja u Velikom Bukovcu</w:t>
      </w:r>
      <w:r w:rsidR="009909F5" w:rsidRPr="005865B6">
        <w:t>.</w:t>
      </w:r>
    </w:p>
    <w:p w14:paraId="72ADCC8F" w14:textId="664D3551" w:rsidR="002F3B3F" w:rsidRPr="005865B6" w:rsidRDefault="002F3B3F" w:rsidP="009909F5">
      <w:pPr>
        <w:pStyle w:val="Standard"/>
        <w:jc w:val="both"/>
      </w:pPr>
    </w:p>
    <w:p w14:paraId="3B034C0D" w14:textId="4C5DA0C8" w:rsidR="002F3B3F" w:rsidRPr="005865B6" w:rsidRDefault="002F3B3F" w:rsidP="00C75EBF">
      <w:pPr>
        <w:pStyle w:val="Standard"/>
        <w:rPr>
          <w:b/>
          <w:bCs/>
        </w:rPr>
      </w:pPr>
      <w:r w:rsidRPr="005865B6">
        <w:rPr>
          <w:b/>
          <w:bCs/>
        </w:rPr>
        <w:t xml:space="preserve">Unutar podskupine pomoći od izvanproračunskih korisnika (AOP 057) (634) odstupanje bilježi: </w:t>
      </w:r>
    </w:p>
    <w:p w14:paraId="3EEDE9A7" w14:textId="1ADD8FAE" w:rsidR="00172E63" w:rsidRPr="005865B6" w:rsidRDefault="00172E63" w:rsidP="00172E63">
      <w:pPr>
        <w:pStyle w:val="Standard"/>
        <w:jc w:val="both"/>
      </w:pPr>
      <w:r w:rsidRPr="005865B6">
        <w:t xml:space="preserve">(AOP 059) kapitalne pomoći od izvanproračunskih korisnika državnog proračuna ostvarene su u iznosu </w:t>
      </w:r>
      <w:r w:rsidR="00CB0771" w:rsidRPr="005865B6">
        <w:t>370.286 kn.</w:t>
      </w:r>
    </w:p>
    <w:p w14:paraId="34769E01" w14:textId="781AD21E" w:rsidR="002F3B3F" w:rsidRPr="005865B6" w:rsidRDefault="00CB0771" w:rsidP="002A1930">
      <w:pPr>
        <w:pStyle w:val="Standard"/>
        <w:jc w:val="both"/>
      </w:pPr>
      <w:r w:rsidRPr="005865B6">
        <w:t xml:space="preserve">Odnose se na kapitalnu pomoć primljenu od Hrvatskih voda za rekonstrukciju mosta u </w:t>
      </w:r>
      <w:proofErr w:type="spellStart"/>
      <w:r w:rsidRPr="005865B6">
        <w:t>Dubovici</w:t>
      </w:r>
      <w:proofErr w:type="spellEnd"/>
      <w:r w:rsidRPr="005865B6">
        <w:t>.</w:t>
      </w:r>
    </w:p>
    <w:p w14:paraId="1B7EB0B1" w14:textId="77777777" w:rsidR="002F3B3F" w:rsidRPr="005865B6" w:rsidRDefault="002F3B3F" w:rsidP="00C75EBF">
      <w:pPr>
        <w:pStyle w:val="Standard"/>
      </w:pPr>
    </w:p>
    <w:p w14:paraId="5477687C" w14:textId="3C1523CB" w:rsidR="00CB1A32" w:rsidRPr="005865B6" w:rsidRDefault="00CB1A32" w:rsidP="00C75EBF">
      <w:pPr>
        <w:pStyle w:val="Standard"/>
        <w:rPr>
          <w:b/>
          <w:bCs/>
        </w:rPr>
      </w:pPr>
      <w:r w:rsidRPr="005865B6">
        <w:rPr>
          <w:b/>
          <w:bCs/>
        </w:rPr>
        <w:t xml:space="preserve">Unutar podskupine pomoći temeljem prijenosa EU sredstva (AOP 069) </w:t>
      </w:r>
      <w:r w:rsidR="009909F5" w:rsidRPr="005865B6">
        <w:rPr>
          <w:b/>
          <w:bCs/>
        </w:rPr>
        <w:t xml:space="preserve">(638) </w:t>
      </w:r>
      <w:r w:rsidRPr="005865B6">
        <w:rPr>
          <w:b/>
          <w:bCs/>
        </w:rPr>
        <w:t xml:space="preserve">ostvareno je: </w:t>
      </w:r>
    </w:p>
    <w:p w14:paraId="27195D62" w14:textId="56BFCD42" w:rsidR="008C1515" w:rsidRPr="005865B6" w:rsidRDefault="008C1515" w:rsidP="004313FF">
      <w:pPr>
        <w:pStyle w:val="Standard"/>
        <w:jc w:val="both"/>
      </w:pPr>
      <w:r w:rsidRPr="005865B6">
        <w:t>(AOP 0</w:t>
      </w:r>
      <w:r w:rsidR="00C75EBF" w:rsidRPr="005865B6">
        <w:t>71</w:t>
      </w:r>
      <w:r w:rsidRPr="005865B6">
        <w:t xml:space="preserve">) </w:t>
      </w:r>
      <w:r w:rsidR="00C75EBF" w:rsidRPr="005865B6">
        <w:t xml:space="preserve">kapitalne </w:t>
      </w:r>
      <w:r w:rsidRPr="005865B6">
        <w:t xml:space="preserve">pomoći </w:t>
      </w:r>
      <w:r w:rsidR="00CB1A32" w:rsidRPr="005865B6">
        <w:t xml:space="preserve">od proračunskog korisnika drugog proračuna temeljem prijenosa EU sredstva </w:t>
      </w:r>
      <w:r w:rsidR="004D2378" w:rsidRPr="005865B6">
        <w:t>u iznosu od 113.650 kn</w:t>
      </w:r>
      <w:r w:rsidR="0051728A" w:rsidRPr="005865B6">
        <w:t>.</w:t>
      </w:r>
    </w:p>
    <w:p w14:paraId="55D47B17" w14:textId="77777777" w:rsidR="00606EB2" w:rsidRPr="005865B6" w:rsidRDefault="00606EB2">
      <w:pPr>
        <w:pStyle w:val="Standard"/>
      </w:pPr>
    </w:p>
    <w:p w14:paraId="5383017D" w14:textId="476C7766" w:rsidR="00606EB2" w:rsidRPr="005865B6" w:rsidRDefault="001436E7">
      <w:pPr>
        <w:pStyle w:val="Standard"/>
      </w:pPr>
      <w:r w:rsidRPr="005865B6">
        <w:rPr>
          <w:rFonts w:cs="Arial"/>
          <w:b/>
          <w:bCs/>
          <w:sz w:val="26"/>
          <w:szCs w:val="26"/>
        </w:rPr>
        <w:t>AOP 07</w:t>
      </w:r>
      <w:r w:rsidR="008A4464" w:rsidRPr="005865B6">
        <w:rPr>
          <w:rFonts w:cs="Arial"/>
          <w:b/>
          <w:bCs/>
          <w:sz w:val="26"/>
          <w:szCs w:val="26"/>
        </w:rPr>
        <w:t>7</w:t>
      </w:r>
      <w:r w:rsidRPr="005865B6">
        <w:rPr>
          <w:rFonts w:cs="Arial"/>
          <w:b/>
          <w:bCs/>
          <w:sz w:val="26"/>
          <w:szCs w:val="26"/>
        </w:rPr>
        <w:t xml:space="preserve"> Prihodi od imovine</w:t>
      </w:r>
    </w:p>
    <w:p w14:paraId="63DCF3F8" w14:textId="77777777" w:rsidR="00606EB2" w:rsidRPr="005865B6"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5865B6" w14:paraId="0DA12E70" w14:textId="77777777" w:rsidTr="008A1FA5">
        <w:trPr>
          <w:trHeight w:val="729"/>
        </w:trPr>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886FF3"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3B849C" w14:textId="77777777" w:rsidR="00606EB2" w:rsidRPr="005865B6" w:rsidRDefault="001436E7">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5B2B83" w14:textId="77777777" w:rsidR="00606EB2" w:rsidRPr="005865B6" w:rsidRDefault="001436E7">
            <w:pPr>
              <w:pStyle w:val="TableContents"/>
              <w:jc w:val="center"/>
            </w:pPr>
            <w:r w:rsidRPr="005865B6">
              <w:t>Indeks</w:t>
            </w:r>
          </w:p>
        </w:tc>
      </w:tr>
      <w:tr w:rsidR="00606EB2" w:rsidRPr="005865B6" w14:paraId="50FDC40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7B7F3D19" w14:textId="3291C5D2" w:rsidR="00606EB2" w:rsidRPr="005865B6" w:rsidRDefault="00AD4F44" w:rsidP="00AE4A65">
            <w:pPr>
              <w:pStyle w:val="TableContents"/>
              <w:jc w:val="center"/>
            </w:pPr>
            <w:r w:rsidRPr="005865B6">
              <w:t>699.080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B57F40C" w14:textId="2B4852E1" w:rsidR="00606EB2" w:rsidRPr="005865B6" w:rsidRDefault="00AD4F44" w:rsidP="00FE069F">
            <w:pPr>
              <w:pStyle w:val="TableContents"/>
              <w:jc w:val="center"/>
            </w:pPr>
            <w:r w:rsidRPr="005865B6">
              <w:t>743.104</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3A55E3" w14:textId="6AD29C19" w:rsidR="00606EB2" w:rsidRPr="005865B6" w:rsidRDefault="008A4464" w:rsidP="00AE4A65">
            <w:pPr>
              <w:pStyle w:val="TableContents"/>
              <w:jc w:val="center"/>
            </w:pPr>
            <w:r w:rsidRPr="005865B6">
              <w:t>1</w:t>
            </w:r>
            <w:r w:rsidR="00AD4F44" w:rsidRPr="005865B6">
              <w:t>06,3</w:t>
            </w:r>
            <w:r w:rsidR="00E677A9" w:rsidRPr="005865B6">
              <w:t>%</w:t>
            </w:r>
          </w:p>
        </w:tc>
      </w:tr>
    </w:tbl>
    <w:p w14:paraId="27D2663B" w14:textId="77777777" w:rsidR="00BC72C4" w:rsidRPr="005865B6" w:rsidRDefault="00BC72C4" w:rsidP="004313FF">
      <w:pPr>
        <w:pStyle w:val="Standard"/>
        <w:jc w:val="both"/>
      </w:pPr>
    </w:p>
    <w:p w14:paraId="4DA8A4E6" w14:textId="4B248D77" w:rsidR="00606EB2" w:rsidRPr="005865B6" w:rsidRDefault="001436E7" w:rsidP="005E00F2">
      <w:pPr>
        <w:pStyle w:val="Standard"/>
        <w:rPr>
          <w:b/>
          <w:bCs/>
        </w:rPr>
      </w:pPr>
      <w:r w:rsidRPr="005865B6">
        <w:t>U</w:t>
      </w:r>
      <w:r w:rsidRPr="005865B6">
        <w:rPr>
          <w:b/>
          <w:bCs/>
        </w:rPr>
        <w:t xml:space="preserve">nutar podskupine prihoda (AOP </w:t>
      </w:r>
      <w:r w:rsidR="009219F8" w:rsidRPr="005865B6">
        <w:rPr>
          <w:b/>
          <w:bCs/>
        </w:rPr>
        <w:t>08</w:t>
      </w:r>
      <w:r w:rsidR="005C3B7C" w:rsidRPr="005865B6">
        <w:rPr>
          <w:b/>
          <w:bCs/>
        </w:rPr>
        <w:t>6</w:t>
      </w:r>
      <w:r w:rsidRPr="005865B6">
        <w:rPr>
          <w:b/>
          <w:bCs/>
        </w:rPr>
        <w:t>)</w:t>
      </w:r>
      <w:r w:rsidR="00AD4F44" w:rsidRPr="005865B6">
        <w:rPr>
          <w:b/>
          <w:bCs/>
        </w:rPr>
        <w:t xml:space="preserve"> (642)</w:t>
      </w:r>
      <w:r w:rsidRPr="005865B6">
        <w:rPr>
          <w:b/>
          <w:bCs/>
        </w:rPr>
        <w:t xml:space="preserve"> odstupanje bilježi:</w:t>
      </w:r>
    </w:p>
    <w:p w14:paraId="40FA41C4" w14:textId="554E54BB" w:rsidR="00405802" w:rsidRPr="005865B6" w:rsidRDefault="00405802" w:rsidP="005E00F2">
      <w:pPr>
        <w:pStyle w:val="Standard"/>
      </w:pPr>
      <w:r w:rsidRPr="005865B6">
        <w:rPr>
          <w:b/>
          <w:bCs/>
        </w:rPr>
        <w:t>(</w:t>
      </w:r>
      <w:r w:rsidRPr="005865B6">
        <w:t xml:space="preserve">AOP 087) prihodi od naknada za koncesije manji su za </w:t>
      </w:r>
      <w:r w:rsidR="00AD4F44" w:rsidRPr="005865B6">
        <w:t>6,2</w:t>
      </w:r>
      <w:r w:rsidRPr="005865B6">
        <w:t xml:space="preserve"> %</w:t>
      </w:r>
      <w:r w:rsidR="003C4970" w:rsidRPr="005865B6">
        <w:t xml:space="preserve"> i iznose </w:t>
      </w:r>
      <w:r w:rsidR="00AD4F44" w:rsidRPr="005865B6">
        <w:t>45.660</w:t>
      </w:r>
      <w:r w:rsidR="003C4970" w:rsidRPr="005865B6">
        <w:t xml:space="preserve"> kn.</w:t>
      </w:r>
    </w:p>
    <w:p w14:paraId="500EB17D" w14:textId="1C70CCF9" w:rsidR="003128D8" w:rsidRPr="005865B6" w:rsidRDefault="008B7966" w:rsidP="00234C6C">
      <w:pPr>
        <w:pStyle w:val="Standard"/>
        <w:jc w:val="both"/>
      </w:pPr>
      <w:r w:rsidRPr="005865B6">
        <w:t>Do smanjenja je došlo kod naknada za koncesiju  vezano za eksploataciju  mineralnih sirovina.</w:t>
      </w:r>
    </w:p>
    <w:p w14:paraId="10CD3697" w14:textId="391571EF" w:rsidR="00FB4715" w:rsidRPr="005865B6" w:rsidRDefault="00FB4715" w:rsidP="00DF22C7">
      <w:pPr>
        <w:pStyle w:val="Standard"/>
        <w:jc w:val="both"/>
      </w:pPr>
      <w:r w:rsidRPr="005865B6">
        <w:t xml:space="preserve">(AOP 088) prihodi od zakupa i iznajmljivanja imovine manji su za </w:t>
      </w:r>
      <w:r w:rsidR="0004551D" w:rsidRPr="005865B6">
        <w:t>13,9</w:t>
      </w:r>
      <w:r w:rsidRPr="005865B6">
        <w:t>%</w:t>
      </w:r>
      <w:r w:rsidR="00DF22C7" w:rsidRPr="005865B6">
        <w:t xml:space="preserve"> a razlog smanjenju  je manja naplata s osnove zakupa poljoprivrednog zemljišta u izvještajnom razdoblju ove godine.</w:t>
      </w:r>
    </w:p>
    <w:p w14:paraId="15AB6099" w14:textId="559EF9C9" w:rsidR="004D066F" w:rsidRPr="005865B6" w:rsidRDefault="00BA12A4" w:rsidP="000900CE">
      <w:pPr>
        <w:pStyle w:val="Standard"/>
        <w:jc w:val="both"/>
      </w:pPr>
      <w:r w:rsidRPr="005865B6">
        <w:t>(AOP 08</w:t>
      </w:r>
      <w:r w:rsidR="007D5D18" w:rsidRPr="005865B6">
        <w:t>9</w:t>
      </w:r>
      <w:r w:rsidRPr="005865B6">
        <w:t xml:space="preserve">) prihodi od </w:t>
      </w:r>
      <w:r w:rsidR="00BE50C6" w:rsidRPr="005865B6">
        <w:t>naknada za korištenje nefinancijske imovine</w:t>
      </w:r>
      <w:r w:rsidR="000941CD" w:rsidRPr="005865B6">
        <w:t>,</w:t>
      </w:r>
      <w:r w:rsidRPr="005865B6">
        <w:t xml:space="preserve"> gdje je zabilježeno </w:t>
      </w:r>
      <w:r w:rsidR="00BE50C6" w:rsidRPr="005865B6">
        <w:t xml:space="preserve">povećanje </w:t>
      </w:r>
      <w:r w:rsidRPr="005865B6">
        <w:t xml:space="preserve"> od </w:t>
      </w:r>
      <w:r w:rsidR="005A5467" w:rsidRPr="005865B6">
        <w:t>6,30</w:t>
      </w:r>
      <w:r w:rsidRPr="005865B6">
        <w:t xml:space="preserve">% a razlog </w:t>
      </w:r>
      <w:r w:rsidR="00BE50C6" w:rsidRPr="005865B6">
        <w:t>povećanju</w:t>
      </w:r>
      <w:r w:rsidR="006F2913" w:rsidRPr="005865B6">
        <w:t xml:space="preserve"> su </w:t>
      </w:r>
      <w:r w:rsidR="003C71A9" w:rsidRPr="005865B6">
        <w:t xml:space="preserve">ostvareni </w:t>
      </w:r>
      <w:r w:rsidR="006F2913" w:rsidRPr="005865B6">
        <w:t xml:space="preserve">veći prihodi s osnove naknade za </w:t>
      </w:r>
      <w:r w:rsidR="007715E6" w:rsidRPr="005865B6">
        <w:t>pravo puta</w:t>
      </w:r>
      <w:r w:rsidR="00BE5773" w:rsidRPr="005865B6">
        <w:t xml:space="preserve"> za elektroničku komunikacijsku infrastrukturu.</w:t>
      </w:r>
    </w:p>
    <w:p w14:paraId="793D895B" w14:textId="2AFF3EAC" w:rsidR="00AA24DD" w:rsidRPr="005865B6" w:rsidRDefault="00AA24DD" w:rsidP="000900CE">
      <w:pPr>
        <w:pStyle w:val="Standard"/>
        <w:jc w:val="both"/>
      </w:pPr>
      <w:r w:rsidRPr="005865B6">
        <w:t xml:space="preserve">(AOP 092) ostali prihodi od nefinancijske imovine </w:t>
      </w:r>
      <w:r w:rsidR="00643EC2" w:rsidRPr="005865B6">
        <w:t>veći</w:t>
      </w:r>
      <w:r w:rsidRPr="005865B6">
        <w:t xml:space="preserve"> su za </w:t>
      </w:r>
      <w:r w:rsidR="00E341EC" w:rsidRPr="005865B6">
        <w:t>1</w:t>
      </w:r>
      <w:r w:rsidR="00A30DD1" w:rsidRPr="005865B6">
        <w:t>95,9</w:t>
      </w:r>
      <w:r w:rsidRPr="005865B6">
        <w:t xml:space="preserve"> %</w:t>
      </w:r>
      <w:r w:rsidR="003C4970" w:rsidRPr="005865B6">
        <w:t xml:space="preserve"> i iznose </w:t>
      </w:r>
      <w:r w:rsidR="00A30DD1" w:rsidRPr="005865B6">
        <w:t>23</w:t>
      </w:r>
      <w:r w:rsidR="00FC536F" w:rsidRPr="005865B6">
        <w:t>.</w:t>
      </w:r>
      <w:r w:rsidR="00A30DD1" w:rsidRPr="005865B6">
        <w:t>130</w:t>
      </w:r>
      <w:r w:rsidR="003C4970" w:rsidRPr="005865B6">
        <w:t xml:space="preserve"> kn.</w:t>
      </w:r>
    </w:p>
    <w:p w14:paraId="7BF743BD" w14:textId="3724DB02" w:rsidR="00AA24DD" w:rsidRPr="005865B6" w:rsidRDefault="00AA24DD" w:rsidP="000900CE">
      <w:pPr>
        <w:pStyle w:val="Standard"/>
        <w:jc w:val="both"/>
      </w:pPr>
      <w:r w:rsidRPr="005865B6">
        <w:t xml:space="preserve">Razlog </w:t>
      </w:r>
      <w:r w:rsidR="00643EC2" w:rsidRPr="005865B6">
        <w:t>povećanju</w:t>
      </w:r>
      <w:r w:rsidR="00085B74" w:rsidRPr="005865B6">
        <w:t xml:space="preserve"> su </w:t>
      </w:r>
      <w:r w:rsidR="00643EC2" w:rsidRPr="005865B6">
        <w:t>veći</w:t>
      </w:r>
      <w:r w:rsidR="00085B74" w:rsidRPr="005865B6">
        <w:t xml:space="preserve"> prihodi od naknade za zadržavanje nezakonito izgrađene zgrade</w:t>
      </w:r>
      <w:r w:rsidR="00327CC1" w:rsidRPr="005865B6">
        <w:t xml:space="preserve"> u izvještajnom razdoblju ove godine.</w:t>
      </w:r>
    </w:p>
    <w:p w14:paraId="60CD8FF5" w14:textId="77777777" w:rsidR="00F542EE" w:rsidRPr="005865B6" w:rsidRDefault="00F542EE">
      <w:pPr>
        <w:pStyle w:val="Standard"/>
        <w:jc w:val="both"/>
        <w:rPr>
          <w:rFonts w:cs="Arial"/>
          <w:b/>
          <w:bCs/>
          <w:sz w:val="26"/>
          <w:szCs w:val="26"/>
        </w:rPr>
      </w:pPr>
    </w:p>
    <w:p w14:paraId="6A0471BD" w14:textId="0A060D8C" w:rsidR="00606EB2" w:rsidRPr="005865B6" w:rsidRDefault="001436E7">
      <w:pPr>
        <w:pStyle w:val="Standard"/>
        <w:jc w:val="both"/>
      </w:pPr>
      <w:r w:rsidRPr="005865B6">
        <w:rPr>
          <w:rFonts w:cs="Arial"/>
          <w:b/>
          <w:bCs/>
          <w:sz w:val="26"/>
          <w:szCs w:val="26"/>
        </w:rPr>
        <w:t>AOP 10</w:t>
      </w:r>
      <w:r w:rsidR="00F542EE" w:rsidRPr="005865B6">
        <w:rPr>
          <w:rFonts w:cs="Arial"/>
          <w:b/>
          <w:bCs/>
          <w:sz w:val="26"/>
          <w:szCs w:val="26"/>
        </w:rPr>
        <w:t>1</w:t>
      </w:r>
      <w:r w:rsidRPr="005865B6">
        <w:rPr>
          <w:rFonts w:cs="Arial"/>
          <w:b/>
          <w:bCs/>
          <w:sz w:val="26"/>
          <w:szCs w:val="26"/>
        </w:rPr>
        <w:t xml:space="preserve"> Prihodi od upravnih i administrativnih pristojbi, pristojbi po posebnim propisima i naknada</w:t>
      </w:r>
      <w:r w:rsidR="00BD5C63" w:rsidRPr="005865B6">
        <w:rPr>
          <w:rFonts w:cs="Arial"/>
          <w:b/>
          <w:bCs/>
          <w:sz w:val="26"/>
          <w:szCs w:val="26"/>
        </w:rPr>
        <w:t xml:space="preserve"> (65)</w:t>
      </w:r>
    </w:p>
    <w:p w14:paraId="478C5FB6" w14:textId="77777777" w:rsidR="00606EB2" w:rsidRPr="005865B6"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5865B6" w14:paraId="1961AE42"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40B337"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8269D" w14:textId="77777777" w:rsidR="00606EB2" w:rsidRPr="005865B6" w:rsidRDefault="001436E7">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E2296" w14:textId="77777777" w:rsidR="00606EB2" w:rsidRPr="005865B6" w:rsidRDefault="001436E7">
            <w:pPr>
              <w:pStyle w:val="TableContents"/>
              <w:jc w:val="center"/>
            </w:pPr>
            <w:r w:rsidRPr="005865B6">
              <w:t>Indeks</w:t>
            </w:r>
          </w:p>
        </w:tc>
      </w:tr>
      <w:tr w:rsidR="00606EB2" w:rsidRPr="007E6C29" w14:paraId="0CB6FDBA"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5366E4AE" w14:textId="41E09CEE" w:rsidR="00606EB2" w:rsidRPr="005865B6" w:rsidRDefault="00C71A85">
            <w:pPr>
              <w:pStyle w:val="TableContents"/>
              <w:jc w:val="center"/>
            </w:pPr>
            <w:r w:rsidRPr="005865B6">
              <w:t>470.840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D5FC4B9" w14:textId="2CE525F1" w:rsidR="00606EB2" w:rsidRPr="005865B6" w:rsidRDefault="00C71A85">
            <w:pPr>
              <w:pStyle w:val="TableContents"/>
              <w:jc w:val="center"/>
            </w:pPr>
            <w:r w:rsidRPr="005865B6">
              <w:t>21</w:t>
            </w:r>
            <w:r w:rsidR="0009717C" w:rsidRPr="005865B6">
              <w:t>9</w:t>
            </w:r>
            <w:r w:rsidRPr="005865B6">
              <w:t>.</w:t>
            </w:r>
            <w:r w:rsidR="0009717C" w:rsidRPr="005865B6">
              <w:t>238</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AEEC1" w14:textId="0A103619" w:rsidR="00606EB2" w:rsidRPr="007E6C29" w:rsidRDefault="00C71A85">
            <w:pPr>
              <w:pStyle w:val="TableContents"/>
              <w:jc w:val="center"/>
            </w:pPr>
            <w:r w:rsidRPr="005865B6">
              <w:t>46,</w:t>
            </w:r>
            <w:r w:rsidR="004125DC" w:rsidRPr="005865B6">
              <w:t>6</w:t>
            </w:r>
            <w:r w:rsidR="00275871" w:rsidRPr="005865B6">
              <w:t>%</w:t>
            </w:r>
          </w:p>
          <w:p w14:paraId="4E0ABB0F" w14:textId="0B704D1C" w:rsidR="00B44587" w:rsidRPr="007E6C29" w:rsidRDefault="00B44587">
            <w:pPr>
              <w:pStyle w:val="TableContents"/>
              <w:jc w:val="center"/>
            </w:pPr>
          </w:p>
        </w:tc>
      </w:tr>
    </w:tbl>
    <w:p w14:paraId="10300875" w14:textId="77777777" w:rsidR="00666DFD" w:rsidRPr="007E6C29" w:rsidRDefault="00666DFD" w:rsidP="005E00F2">
      <w:pPr>
        <w:pStyle w:val="Standard"/>
        <w:jc w:val="both"/>
        <w:rPr>
          <w:b/>
          <w:bCs/>
        </w:rPr>
      </w:pPr>
    </w:p>
    <w:p w14:paraId="1DC13A16" w14:textId="77777777" w:rsidR="00CB52B5" w:rsidRPr="007E6C29" w:rsidRDefault="00CB52B5" w:rsidP="005E00F2">
      <w:pPr>
        <w:pStyle w:val="Standard"/>
        <w:jc w:val="both"/>
        <w:rPr>
          <w:b/>
          <w:bCs/>
        </w:rPr>
      </w:pPr>
    </w:p>
    <w:p w14:paraId="18DE1FB5" w14:textId="0C155E9E" w:rsidR="00DA251D" w:rsidRPr="005865B6" w:rsidRDefault="001436E7" w:rsidP="005E00F2">
      <w:pPr>
        <w:pStyle w:val="Standard"/>
        <w:jc w:val="both"/>
        <w:rPr>
          <w:b/>
          <w:bCs/>
        </w:rPr>
      </w:pPr>
      <w:r w:rsidRPr="005865B6">
        <w:rPr>
          <w:b/>
          <w:bCs/>
        </w:rPr>
        <w:t>Unutar podskupine prihoda upravne i administrativne pristojbe (AOP 10</w:t>
      </w:r>
      <w:r w:rsidR="00F542EE" w:rsidRPr="005865B6">
        <w:rPr>
          <w:b/>
          <w:bCs/>
        </w:rPr>
        <w:t>2</w:t>
      </w:r>
      <w:r w:rsidRPr="005865B6">
        <w:rPr>
          <w:b/>
          <w:bCs/>
        </w:rPr>
        <w:t xml:space="preserve">) </w:t>
      </w:r>
      <w:r w:rsidR="00BD5C63" w:rsidRPr="005865B6">
        <w:rPr>
          <w:b/>
          <w:bCs/>
        </w:rPr>
        <w:t>(651)</w:t>
      </w:r>
      <w:r w:rsidRPr="005865B6">
        <w:rPr>
          <w:b/>
          <w:bCs/>
        </w:rPr>
        <w:t xml:space="preserve"> odstupanje</w:t>
      </w:r>
      <w:r w:rsidRPr="005865B6">
        <w:t xml:space="preserve"> </w:t>
      </w:r>
      <w:r w:rsidR="00DA251D" w:rsidRPr="005865B6">
        <w:rPr>
          <w:b/>
          <w:bCs/>
        </w:rPr>
        <w:t>b</w:t>
      </w:r>
      <w:r w:rsidRPr="005865B6">
        <w:rPr>
          <w:b/>
          <w:bCs/>
        </w:rPr>
        <w:t>ilježi:</w:t>
      </w:r>
    </w:p>
    <w:p w14:paraId="6ECFE2CB" w14:textId="0843470D" w:rsidR="00A909B5" w:rsidRPr="005865B6" w:rsidRDefault="001436E7" w:rsidP="005E00F2">
      <w:pPr>
        <w:pStyle w:val="Standard"/>
        <w:jc w:val="both"/>
      </w:pPr>
      <w:r w:rsidRPr="005865B6">
        <w:t>(AOP 10</w:t>
      </w:r>
      <w:r w:rsidR="00F542EE" w:rsidRPr="005865B6">
        <w:t>4</w:t>
      </w:r>
      <w:r w:rsidRPr="005865B6">
        <w:t xml:space="preserve">) županijske, gradske i općinske pristojbe i naknade koje  u odnosu na prethodnu godinu </w:t>
      </w:r>
      <w:r w:rsidR="003B3C4A" w:rsidRPr="005865B6">
        <w:t xml:space="preserve">bilježe </w:t>
      </w:r>
      <w:r w:rsidR="0040094B" w:rsidRPr="005865B6">
        <w:t>smanjenje</w:t>
      </w:r>
      <w:r w:rsidR="003B3C4A" w:rsidRPr="005865B6">
        <w:t xml:space="preserve"> od </w:t>
      </w:r>
      <w:r w:rsidR="0040094B" w:rsidRPr="005865B6">
        <w:t>95,8</w:t>
      </w:r>
      <w:r w:rsidR="007A6C02" w:rsidRPr="005865B6">
        <w:t xml:space="preserve"> </w:t>
      </w:r>
      <w:r w:rsidR="003B3C4A" w:rsidRPr="005865B6">
        <w:t>%</w:t>
      </w:r>
      <w:r w:rsidR="00697E5E" w:rsidRPr="005865B6">
        <w:t xml:space="preserve"> i iznose </w:t>
      </w:r>
      <w:r w:rsidR="00BD5C63" w:rsidRPr="005865B6">
        <w:t>2.</w:t>
      </w:r>
      <w:r w:rsidR="0009717C" w:rsidRPr="005865B6">
        <w:t>565</w:t>
      </w:r>
      <w:r w:rsidR="00697E5E" w:rsidRPr="005865B6">
        <w:t xml:space="preserve"> kn.</w:t>
      </w:r>
      <w:r w:rsidR="006A610F" w:rsidRPr="005865B6">
        <w:t xml:space="preserve"> Navedeni prihod je prihod </w:t>
      </w:r>
      <w:r w:rsidR="00A909B5" w:rsidRPr="005865B6">
        <w:t xml:space="preserve">s osnove </w:t>
      </w:r>
      <w:r w:rsidR="006A610F" w:rsidRPr="005865B6">
        <w:t xml:space="preserve"> grobne naknade.</w:t>
      </w:r>
    </w:p>
    <w:p w14:paraId="3EA62038" w14:textId="2C741155" w:rsidR="004E0912" w:rsidRPr="005865B6" w:rsidRDefault="006A610F" w:rsidP="005E00F2">
      <w:pPr>
        <w:pStyle w:val="Standard"/>
        <w:jc w:val="both"/>
      </w:pPr>
      <w:r w:rsidRPr="005865B6">
        <w:t xml:space="preserve">U 2021. godini općina </w:t>
      </w:r>
      <w:r w:rsidR="005001B7">
        <w:t>j</w:t>
      </w:r>
      <w:r w:rsidRPr="005865B6">
        <w:t xml:space="preserve">e imala </w:t>
      </w:r>
      <w:r w:rsidR="005001B7">
        <w:t xml:space="preserve">manje </w:t>
      </w:r>
      <w:r w:rsidRPr="005865B6">
        <w:t>prihode s osnove grobne naknade jer je u</w:t>
      </w:r>
      <w:r w:rsidR="004E0912" w:rsidRPr="005865B6">
        <w:t>pravljanje i održavanje groblja povjerila Upravi groblja, odnosno komunalnom poduzeću Lukom d.o.o. iz Ludbreg</w:t>
      </w:r>
      <w:r w:rsidRPr="005865B6">
        <w:t>a.</w:t>
      </w:r>
      <w:r w:rsidR="00A909B5" w:rsidRPr="005865B6">
        <w:t xml:space="preserve"> Ostvareni prihodi odnose se na zaostale uplate.</w:t>
      </w:r>
    </w:p>
    <w:p w14:paraId="30EF93D3" w14:textId="77777777" w:rsidR="00C1609D" w:rsidRPr="005865B6" w:rsidRDefault="00C1609D">
      <w:pPr>
        <w:pStyle w:val="Standard"/>
        <w:rPr>
          <w:b/>
          <w:bCs/>
        </w:rPr>
      </w:pPr>
    </w:p>
    <w:p w14:paraId="5D07B1C6" w14:textId="21BF9C9F" w:rsidR="00606EB2" w:rsidRPr="005865B6" w:rsidRDefault="001436E7">
      <w:pPr>
        <w:pStyle w:val="Standard"/>
        <w:rPr>
          <w:b/>
          <w:bCs/>
        </w:rPr>
      </w:pPr>
      <w:r w:rsidRPr="005865B6">
        <w:rPr>
          <w:b/>
          <w:bCs/>
        </w:rPr>
        <w:t>Unutar podskupine prihodi po posebnim propisima (AOP 1</w:t>
      </w:r>
      <w:r w:rsidR="006910F6" w:rsidRPr="005865B6">
        <w:rPr>
          <w:b/>
          <w:bCs/>
        </w:rPr>
        <w:t>07</w:t>
      </w:r>
      <w:r w:rsidRPr="005865B6">
        <w:rPr>
          <w:b/>
          <w:bCs/>
        </w:rPr>
        <w:t>)</w:t>
      </w:r>
      <w:r w:rsidR="003A27DD" w:rsidRPr="005865B6">
        <w:rPr>
          <w:b/>
          <w:bCs/>
        </w:rPr>
        <w:t xml:space="preserve"> (652)</w:t>
      </w:r>
      <w:r w:rsidRPr="005865B6">
        <w:rPr>
          <w:b/>
          <w:bCs/>
        </w:rPr>
        <w:t xml:space="preserve"> odstupanje bilježi:</w:t>
      </w:r>
    </w:p>
    <w:p w14:paraId="7B95408B" w14:textId="4D8EA68B" w:rsidR="006910F6" w:rsidRPr="005865B6" w:rsidRDefault="00B40AED" w:rsidP="007E15E3">
      <w:pPr>
        <w:pStyle w:val="Standard"/>
        <w:jc w:val="both"/>
      </w:pPr>
      <w:r w:rsidRPr="005865B6">
        <w:t>(AOP 1</w:t>
      </w:r>
      <w:r w:rsidR="006910F6" w:rsidRPr="005865B6">
        <w:t>08</w:t>
      </w:r>
      <w:r w:rsidRPr="005865B6">
        <w:t xml:space="preserve">) prihodi državne uprave </w:t>
      </w:r>
      <w:r w:rsidR="006910F6" w:rsidRPr="005865B6">
        <w:t xml:space="preserve">ostvareni su u iznosu </w:t>
      </w:r>
      <w:r w:rsidR="00434F79" w:rsidRPr="005865B6">
        <w:t>2.</w:t>
      </w:r>
      <w:r w:rsidR="000D4BF7" w:rsidRPr="005865B6">
        <w:t>401</w:t>
      </w:r>
      <w:r w:rsidR="00434F79" w:rsidRPr="005865B6">
        <w:t xml:space="preserve"> </w:t>
      </w:r>
      <w:r w:rsidR="006910F6" w:rsidRPr="005865B6">
        <w:t>kn</w:t>
      </w:r>
      <w:r w:rsidR="00B04229" w:rsidRPr="005865B6">
        <w:t xml:space="preserve"> a odnose na naknade za promjene namjene poljoprivrednog zemljišta u građevinsko.</w:t>
      </w:r>
    </w:p>
    <w:p w14:paraId="1472DA50" w14:textId="7497EF38" w:rsidR="00C47B42" w:rsidRPr="005865B6" w:rsidRDefault="00C47B42" w:rsidP="007E15E3">
      <w:pPr>
        <w:pStyle w:val="Standard"/>
        <w:jc w:val="both"/>
      </w:pPr>
      <w:r w:rsidRPr="005865B6">
        <w:t>(AOP 1</w:t>
      </w:r>
      <w:r w:rsidR="006910F6" w:rsidRPr="005865B6">
        <w:t>09</w:t>
      </w:r>
      <w:r w:rsidRPr="005865B6">
        <w:t>)</w:t>
      </w:r>
      <w:r w:rsidR="006F7B32" w:rsidRPr="005865B6">
        <w:t xml:space="preserve"> prihodi vodnog gospodarstva bilježe </w:t>
      </w:r>
      <w:r w:rsidR="00D422DF" w:rsidRPr="005865B6">
        <w:t>smanjenje</w:t>
      </w:r>
      <w:r w:rsidR="00CB1F0D" w:rsidRPr="005865B6">
        <w:t xml:space="preserve"> od </w:t>
      </w:r>
      <w:r w:rsidR="003A27DD" w:rsidRPr="005865B6">
        <w:t>75,0</w:t>
      </w:r>
      <w:r w:rsidR="00D422DF" w:rsidRPr="005865B6">
        <w:t>%</w:t>
      </w:r>
      <w:r w:rsidR="0028044E" w:rsidRPr="005865B6">
        <w:t xml:space="preserve"> </w:t>
      </w:r>
      <w:r w:rsidR="006F7B32" w:rsidRPr="005865B6">
        <w:t xml:space="preserve"> </w:t>
      </w:r>
      <w:r w:rsidR="00D422DF" w:rsidRPr="005865B6">
        <w:t xml:space="preserve">radi manje </w:t>
      </w:r>
      <w:r w:rsidR="005C5276" w:rsidRPr="005865B6">
        <w:t>naplate vodnog doprinosa Hrvatskih voda.</w:t>
      </w:r>
    </w:p>
    <w:p w14:paraId="152DFBA4" w14:textId="03C1378D" w:rsidR="006F7B32" w:rsidRPr="005865B6" w:rsidRDefault="006F7B32" w:rsidP="005E00F2">
      <w:pPr>
        <w:pStyle w:val="Standard"/>
        <w:jc w:val="both"/>
      </w:pPr>
      <w:r w:rsidRPr="005865B6">
        <w:t>(AOP 1</w:t>
      </w:r>
      <w:r w:rsidR="00F623C0" w:rsidRPr="005865B6">
        <w:t>10</w:t>
      </w:r>
      <w:r w:rsidRPr="005865B6">
        <w:t xml:space="preserve">) doprinosi za šume bilježe </w:t>
      </w:r>
      <w:r w:rsidR="00F623C0" w:rsidRPr="005865B6">
        <w:t>smanjenje</w:t>
      </w:r>
      <w:r w:rsidR="00A02308" w:rsidRPr="005865B6">
        <w:t xml:space="preserve"> od  </w:t>
      </w:r>
      <w:r w:rsidR="00907CA7" w:rsidRPr="005865B6">
        <w:t>13,3</w:t>
      </w:r>
      <w:r w:rsidRPr="005865B6">
        <w:t>%</w:t>
      </w:r>
      <w:r w:rsidR="005C5276" w:rsidRPr="005865B6">
        <w:t xml:space="preserve"> radi </w:t>
      </w:r>
      <w:r w:rsidR="00F623C0" w:rsidRPr="005865B6">
        <w:t>manjeg</w:t>
      </w:r>
      <w:r w:rsidR="00F25174" w:rsidRPr="005865B6">
        <w:t xml:space="preserve"> </w:t>
      </w:r>
      <w:r w:rsidR="005C5276" w:rsidRPr="005865B6">
        <w:t>prometa šumskog doprinosa u izvještajnom razdoblju.</w:t>
      </w:r>
    </w:p>
    <w:p w14:paraId="201B8E7C" w14:textId="77777777" w:rsidR="0026700C" w:rsidRPr="005865B6" w:rsidRDefault="003B3C4A">
      <w:pPr>
        <w:pStyle w:val="Standard"/>
      </w:pPr>
      <w:r w:rsidRPr="005865B6">
        <w:t xml:space="preserve"> </w:t>
      </w:r>
    </w:p>
    <w:p w14:paraId="5C35DE99" w14:textId="74918445" w:rsidR="00035A91" w:rsidRPr="005865B6" w:rsidRDefault="001436E7">
      <w:pPr>
        <w:pStyle w:val="Standard"/>
        <w:rPr>
          <w:b/>
          <w:bCs/>
        </w:rPr>
      </w:pPr>
      <w:r w:rsidRPr="005865B6">
        <w:rPr>
          <w:b/>
          <w:bCs/>
        </w:rPr>
        <w:t>Unutar podskupine komunalni doprinosi i naknade (AOP 11</w:t>
      </w:r>
      <w:r w:rsidR="00290F97" w:rsidRPr="005865B6">
        <w:rPr>
          <w:b/>
          <w:bCs/>
        </w:rPr>
        <w:t>5</w:t>
      </w:r>
      <w:r w:rsidRPr="005865B6">
        <w:rPr>
          <w:b/>
          <w:bCs/>
        </w:rPr>
        <w:t xml:space="preserve">) </w:t>
      </w:r>
      <w:r w:rsidR="00B344CA" w:rsidRPr="005865B6">
        <w:rPr>
          <w:b/>
          <w:bCs/>
        </w:rPr>
        <w:t xml:space="preserve">(653) </w:t>
      </w:r>
      <w:r w:rsidRPr="005865B6">
        <w:rPr>
          <w:b/>
          <w:bCs/>
        </w:rPr>
        <w:t>odstupanje bilježi:</w:t>
      </w:r>
    </w:p>
    <w:p w14:paraId="19A96C3A" w14:textId="267CC79C" w:rsidR="00C94F18" w:rsidRPr="005865B6" w:rsidRDefault="001436E7" w:rsidP="00ED0DEE">
      <w:pPr>
        <w:pStyle w:val="Standard"/>
        <w:jc w:val="both"/>
      </w:pPr>
      <w:r w:rsidRPr="005865B6">
        <w:t>(AOP 1</w:t>
      </w:r>
      <w:r w:rsidR="00290F97" w:rsidRPr="005865B6">
        <w:t>16</w:t>
      </w:r>
      <w:r w:rsidRPr="005865B6">
        <w:t xml:space="preserve">) komunalni doprinosi, gdje je zabilježeno </w:t>
      </w:r>
      <w:r w:rsidR="00290F97" w:rsidRPr="005865B6">
        <w:t>smanjenje</w:t>
      </w:r>
      <w:r w:rsidR="00DA6BC7" w:rsidRPr="005865B6">
        <w:t xml:space="preserve"> od </w:t>
      </w:r>
      <w:r w:rsidR="00B344CA" w:rsidRPr="005865B6">
        <w:t>75,5</w:t>
      </w:r>
      <w:r w:rsidRPr="005865B6">
        <w:t xml:space="preserve"> %</w:t>
      </w:r>
      <w:r w:rsidR="00C17201" w:rsidRPr="005865B6">
        <w:t xml:space="preserve"> </w:t>
      </w:r>
      <w:r w:rsidR="00ED0DEE" w:rsidRPr="005865B6">
        <w:t xml:space="preserve">radi </w:t>
      </w:r>
      <w:r w:rsidR="00290F97" w:rsidRPr="005865B6">
        <w:t>manjeg</w:t>
      </w:r>
      <w:r w:rsidR="00035A91" w:rsidRPr="005865B6">
        <w:t xml:space="preserve"> obračuna i </w:t>
      </w:r>
      <w:r w:rsidR="00ED0DEE" w:rsidRPr="005865B6">
        <w:t xml:space="preserve"> naplate po rješenjima.</w:t>
      </w:r>
    </w:p>
    <w:p w14:paraId="13A99BFA" w14:textId="0CC536DF" w:rsidR="00606EB2" w:rsidRPr="005865B6" w:rsidRDefault="001436E7" w:rsidP="00B344CA">
      <w:pPr>
        <w:pStyle w:val="Standard"/>
        <w:jc w:val="both"/>
      </w:pPr>
      <w:r w:rsidRPr="005865B6">
        <w:t>(AOP 1</w:t>
      </w:r>
      <w:r w:rsidR="00290F97" w:rsidRPr="005865B6">
        <w:t>17</w:t>
      </w:r>
      <w:r w:rsidRPr="005865B6">
        <w:t xml:space="preserve">)  komunalne naknade, gdje je zabilježeno </w:t>
      </w:r>
      <w:r w:rsidR="00B344CA" w:rsidRPr="005865B6">
        <w:t xml:space="preserve">smanjenje </w:t>
      </w:r>
      <w:r w:rsidR="00813D22" w:rsidRPr="005865B6">
        <w:t xml:space="preserve"> </w:t>
      </w:r>
      <w:r w:rsidRPr="005865B6">
        <w:t xml:space="preserve"> od </w:t>
      </w:r>
      <w:r w:rsidR="00B344CA" w:rsidRPr="005865B6">
        <w:t>2,30</w:t>
      </w:r>
      <w:r w:rsidR="0026700C" w:rsidRPr="005865B6">
        <w:t xml:space="preserve"> </w:t>
      </w:r>
      <w:r w:rsidR="00345DB5" w:rsidRPr="005865B6">
        <w:t xml:space="preserve">% </w:t>
      </w:r>
      <w:r w:rsidR="00825EE7" w:rsidRPr="005865B6">
        <w:t xml:space="preserve"> radi </w:t>
      </w:r>
      <w:r w:rsidR="00B344CA" w:rsidRPr="005865B6">
        <w:t xml:space="preserve">manje </w:t>
      </w:r>
      <w:r w:rsidR="00825EE7" w:rsidRPr="005865B6">
        <w:t>naplate u izvještajnom razdoblju</w:t>
      </w:r>
      <w:r w:rsidR="00EC292C" w:rsidRPr="005865B6">
        <w:t xml:space="preserve"> ove godine.</w:t>
      </w:r>
    </w:p>
    <w:p w14:paraId="58C48906" w14:textId="77777777" w:rsidR="008223FB" w:rsidRPr="005865B6" w:rsidRDefault="008223FB" w:rsidP="00DC24C2">
      <w:pPr>
        <w:pStyle w:val="Standard"/>
        <w:jc w:val="both"/>
        <w:rPr>
          <w:b/>
          <w:bCs/>
          <w:sz w:val="26"/>
          <w:szCs w:val="26"/>
        </w:rPr>
      </w:pPr>
    </w:p>
    <w:p w14:paraId="7BE81DAF" w14:textId="5C023D2A" w:rsidR="008223FB" w:rsidRPr="005865B6" w:rsidRDefault="008223FB" w:rsidP="008223FB">
      <w:pPr>
        <w:pStyle w:val="Standard"/>
        <w:jc w:val="both"/>
      </w:pPr>
      <w:r w:rsidRPr="005865B6">
        <w:rPr>
          <w:rFonts w:cs="Arial"/>
          <w:b/>
          <w:bCs/>
          <w:sz w:val="26"/>
          <w:szCs w:val="26"/>
        </w:rPr>
        <w:t>AOP 134 Prihodi od kazna, upravnih mjera i ostali prihodi</w:t>
      </w:r>
    </w:p>
    <w:p w14:paraId="12C7CAF2" w14:textId="77777777" w:rsidR="008223FB" w:rsidRPr="005865B6" w:rsidRDefault="008223FB" w:rsidP="008223FB">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223FB" w:rsidRPr="005865B6" w14:paraId="0BA41763" w14:textId="77777777" w:rsidTr="008223FB">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C16FDF" w14:textId="77777777" w:rsidR="008223FB" w:rsidRPr="005865B6" w:rsidRDefault="008223FB">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8ED7C34" w14:textId="77777777" w:rsidR="008223FB" w:rsidRPr="005865B6" w:rsidRDefault="008223FB">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C2A798" w14:textId="77777777" w:rsidR="008223FB" w:rsidRPr="005865B6" w:rsidRDefault="008223FB">
            <w:pPr>
              <w:pStyle w:val="TableContents"/>
              <w:jc w:val="center"/>
            </w:pPr>
            <w:r w:rsidRPr="005865B6">
              <w:t>Indeks</w:t>
            </w:r>
          </w:p>
        </w:tc>
      </w:tr>
      <w:tr w:rsidR="008223FB" w:rsidRPr="005865B6" w14:paraId="7CB48788" w14:textId="77777777" w:rsidTr="008223FB">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3121E80A" w14:textId="66500BC7" w:rsidR="008223FB" w:rsidRPr="005865B6" w:rsidRDefault="008223FB">
            <w:pPr>
              <w:pStyle w:val="TableContents"/>
              <w:jc w:val="center"/>
            </w:pPr>
            <w:r w:rsidRPr="005865B6">
              <w:t>250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7CCF8E83" w14:textId="776439A0" w:rsidR="008223FB" w:rsidRPr="005865B6" w:rsidRDefault="008223FB">
            <w:pPr>
              <w:pStyle w:val="TableContents"/>
              <w:jc w:val="center"/>
            </w:pPr>
            <w:r w:rsidRPr="005865B6">
              <w:t>109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9B3159" w14:textId="0619A4D8" w:rsidR="008223FB" w:rsidRPr="005865B6" w:rsidRDefault="008223FB">
            <w:pPr>
              <w:pStyle w:val="TableContents"/>
              <w:jc w:val="center"/>
            </w:pPr>
            <w:r w:rsidRPr="005865B6">
              <w:t>43,6</w:t>
            </w:r>
          </w:p>
          <w:p w14:paraId="79C1039D" w14:textId="77777777" w:rsidR="008223FB" w:rsidRPr="005865B6" w:rsidRDefault="008223FB">
            <w:pPr>
              <w:pStyle w:val="TableContents"/>
              <w:jc w:val="center"/>
            </w:pPr>
          </w:p>
        </w:tc>
      </w:tr>
    </w:tbl>
    <w:p w14:paraId="34C06305" w14:textId="77777777" w:rsidR="008223FB" w:rsidRPr="005865B6" w:rsidRDefault="008223FB" w:rsidP="008223FB">
      <w:pPr>
        <w:pStyle w:val="Standard"/>
        <w:jc w:val="both"/>
      </w:pPr>
    </w:p>
    <w:p w14:paraId="51805F07" w14:textId="056B5694" w:rsidR="008223FB" w:rsidRPr="005865B6" w:rsidRDefault="008223FB" w:rsidP="008223FB">
      <w:pPr>
        <w:pStyle w:val="Standard"/>
        <w:jc w:val="both"/>
      </w:pPr>
      <w:r w:rsidRPr="005865B6">
        <w:rPr>
          <w:b/>
          <w:bCs/>
        </w:rPr>
        <w:t xml:space="preserve">Unutar podskupine ostali prihodi (AOP 145) (683) </w:t>
      </w:r>
      <w:r w:rsidRPr="005865B6">
        <w:t>bilježi se smanjenje od 56,4 % .</w:t>
      </w:r>
    </w:p>
    <w:p w14:paraId="5AE2F878" w14:textId="77777777" w:rsidR="008223FB" w:rsidRPr="005865B6" w:rsidRDefault="008223FB" w:rsidP="00DC24C2">
      <w:pPr>
        <w:pStyle w:val="Standard"/>
        <w:jc w:val="both"/>
        <w:rPr>
          <w:b/>
          <w:bCs/>
          <w:sz w:val="26"/>
          <w:szCs w:val="26"/>
        </w:rPr>
      </w:pPr>
    </w:p>
    <w:p w14:paraId="60067287" w14:textId="0A28D0E8" w:rsidR="00AE30EC" w:rsidRPr="005865B6" w:rsidRDefault="00AE30EC" w:rsidP="00AE30EC">
      <w:pPr>
        <w:pStyle w:val="Standard"/>
        <w:ind w:left="540" w:hanging="540"/>
        <w:jc w:val="both"/>
        <w:rPr>
          <w:b/>
          <w:bCs/>
          <w:sz w:val="26"/>
          <w:szCs w:val="26"/>
        </w:rPr>
      </w:pPr>
      <w:r w:rsidRPr="005865B6">
        <w:rPr>
          <w:b/>
          <w:bCs/>
          <w:sz w:val="26"/>
          <w:szCs w:val="26"/>
        </w:rPr>
        <w:t>AOP 29</w:t>
      </w:r>
      <w:r w:rsidR="005655F1" w:rsidRPr="005865B6">
        <w:rPr>
          <w:b/>
          <w:bCs/>
          <w:sz w:val="26"/>
          <w:szCs w:val="26"/>
        </w:rPr>
        <w:t>3</w:t>
      </w:r>
      <w:r w:rsidRPr="005865B6">
        <w:rPr>
          <w:b/>
          <w:bCs/>
          <w:sz w:val="26"/>
          <w:szCs w:val="26"/>
        </w:rPr>
        <w:t xml:space="preserve"> Prihodi od prodaje </w:t>
      </w:r>
      <w:proofErr w:type="spellStart"/>
      <w:r w:rsidRPr="005865B6">
        <w:rPr>
          <w:b/>
          <w:bCs/>
          <w:sz w:val="26"/>
          <w:szCs w:val="26"/>
        </w:rPr>
        <w:t>neproizvedene</w:t>
      </w:r>
      <w:proofErr w:type="spellEnd"/>
      <w:r w:rsidRPr="005865B6">
        <w:rPr>
          <w:b/>
          <w:bCs/>
          <w:sz w:val="26"/>
          <w:szCs w:val="26"/>
        </w:rPr>
        <w:t xml:space="preserve"> dugotrajne imovine</w:t>
      </w:r>
      <w:r w:rsidR="0061520C" w:rsidRPr="005865B6">
        <w:rPr>
          <w:b/>
          <w:bCs/>
          <w:sz w:val="26"/>
          <w:szCs w:val="26"/>
        </w:rPr>
        <w:t xml:space="preserve"> </w:t>
      </w:r>
    </w:p>
    <w:p w14:paraId="72649C67" w14:textId="77777777" w:rsidR="00AE30EC" w:rsidRPr="005865B6" w:rsidRDefault="00AE30EC" w:rsidP="00AE30EC">
      <w:pPr>
        <w:pStyle w:val="Standard"/>
        <w:ind w:left="540" w:hanging="540"/>
        <w:jc w:val="both"/>
        <w:rPr>
          <w:rFonts w:ascii="Arial" w:hAnsi="Arial"/>
        </w:rPr>
      </w:pPr>
    </w:p>
    <w:p w14:paraId="18D102D2" w14:textId="77777777" w:rsidR="00AE30EC" w:rsidRPr="005865B6" w:rsidRDefault="00AE30EC" w:rsidP="00AE30EC">
      <w:pPr>
        <w:pStyle w:val="Standard"/>
        <w:ind w:left="540" w:hanging="540"/>
        <w:jc w:val="both"/>
        <w:rPr>
          <w:rFonts w:ascii="Arial" w:hAnsi="Arial"/>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AE30EC" w:rsidRPr="005865B6" w14:paraId="1E925D5F" w14:textId="77777777" w:rsidTr="001E4C89">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5FF3E" w14:textId="77777777" w:rsidR="00AE30EC" w:rsidRPr="005865B6" w:rsidRDefault="00AE30EC" w:rsidP="001E4C89">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FDB5E7" w14:textId="77777777" w:rsidR="00AE30EC" w:rsidRPr="005865B6" w:rsidRDefault="00AE30EC" w:rsidP="001E4C89">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84A98" w14:textId="77777777" w:rsidR="00AE30EC" w:rsidRPr="005865B6" w:rsidRDefault="00AE30EC" w:rsidP="001E4C89">
            <w:pPr>
              <w:pStyle w:val="TableContents"/>
              <w:jc w:val="center"/>
            </w:pPr>
            <w:r w:rsidRPr="005865B6">
              <w:t>Indeks</w:t>
            </w:r>
          </w:p>
        </w:tc>
      </w:tr>
      <w:tr w:rsidR="00AE30EC" w:rsidRPr="005865B6" w14:paraId="540AEC14" w14:textId="77777777" w:rsidTr="001E4C89">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7014C92B" w14:textId="0BC54FAD" w:rsidR="00AE30EC" w:rsidRPr="005865B6" w:rsidRDefault="0061520C" w:rsidP="00810A55">
            <w:pPr>
              <w:pStyle w:val="TableContents"/>
              <w:jc w:val="center"/>
            </w:pPr>
            <w:r w:rsidRPr="005865B6">
              <w:t>1.308</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687677A5" w14:textId="03C96740" w:rsidR="00AE30EC" w:rsidRPr="005865B6" w:rsidRDefault="0061520C" w:rsidP="001E4C89">
            <w:pPr>
              <w:pStyle w:val="TableContents"/>
              <w:jc w:val="center"/>
            </w:pPr>
            <w:r w:rsidRPr="005865B6">
              <w:t>15.552</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D8ED0E" w14:textId="492A4136" w:rsidR="00AE30EC" w:rsidRPr="005865B6" w:rsidRDefault="0061520C" w:rsidP="001E4C89">
            <w:pPr>
              <w:pStyle w:val="TableContents"/>
              <w:jc w:val="center"/>
            </w:pPr>
            <w:r w:rsidRPr="005865B6">
              <w:t>1.189,0</w:t>
            </w:r>
            <w:r w:rsidR="00810A55" w:rsidRPr="005865B6">
              <w:t>%</w:t>
            </w:r>
          </w:p>
        </w:tc>
      </w:tr>
    </w:tbl>
    <w:p w14:paraId="420FABBC" w14:textId="77777777" w:rsidR="00AE30EC" w:rsidRPr="005865B6" w:rsidRDefault="00AE30EC" w:rsidP="00AE30EC">
      <w:pPr>
        <w:pStyle w:val="Standard"/>
        <w:rPr>
          <w:rFonts w:ascii="Arial" w:hAnsi="Arial"/>
        </w:rPr>
      </w:pPr>
    </w:p>
    <w:p w14:paraId="5A3FDA70" w14:textId="493C93FC" w:rsidR="00EF04BA" w:rsidRPr="005865B6" w:rsidRDefault="00370CF5" w:rsidP="00DC24C2">
      <w:pPr>
        <w:pStyle w:val="Standard"/>
        <w:jc w:val="both"/>
      </w:pPr>
      <w:r w:rsidRPr="005865B6">
        <w:t xml:space="preserve">U izvještajnom razdoblju </w:t>
      </w:r>
      <w:r w:rsidR="00730058" w:rsidRPr="005865B6">
        <w:t xml:space="preserve">ostvareni su </w:t>
      </w:r>
      <w:r w:rsidR="00B65429" w:rsidRPr="005865B6">
        <w:t xml:space="preserve">veći </w:t>
      </w:r>
      <w:r w:rsidR="00730058" w:rsidRPr="005865B6">
        <w:t xml:space="preserve">prihodi od prodaje zemljišta u </w:t>
      </w:r>
      <w:proofErr w:type="spellStart"/>
      <w:r w:rsidR="00730058" w:rsidRPr="005865B6">
        <w:t>vl</w:t>
      </w:r>
      <w:proofErr w:type="spellEnd"/>
      <w:r w:rsidR="00730058" w:rsidRPr="005865B6">
        <w:t>. općine.</w:t>
      </w:r>
    </w:p>
    <w:p w14:paraId="24A4C828" w14:textId="77777777" w:rsidR="007C268D" w:rsidRPr="005865B6" w:rsidRDefault="007C268D">
      <w:pPr>
        <w:pStyle w:val="Standard"/>
        <w:ind w:left="540" w:hanging="540"/>
        <w:jc w:val="both"/>
        <w:rPr>
          <w:b/>
          <w:bCs/>
          <w:sz w:val="26"/>
          <w:szCs w:val="26"/>
        </w:rPr>
      </w:pPr>
    </w:p>
    <w:p w14:paraId="5EABD80C" w14:textId="6A8FB241" w:rsidR="00606EB2" w:rsidRPr="005865B6" w:rsidRDefault="001436E7">
      <w:pPr>
        <w:pStyle w:val="Standard"/>
        <w:ind w:left="540" w:hanging="540"/>
        <w:jc w:val="both"/>
        <w:rPr>
          <w:b/>
          <w:bCs/>
          <w:sz w:val="26"/>
          <w:szCs w:val="26"/>
        </w:rPr>
      </w:pPr>
      <w:r w:rsidRPr="005865B6">
        <w:rPr>
          <w:b/>
          <w:bCs/>
          <w:sz w:val="26"/>
          <w:szCs w:val="26"/>
        </w:rPr>
        <w:t>AOP 30</w:t>
      </w:r>
      <w:r w:rsidR="007C268D" w:rsidRPr="005865B6">
        <w:rPr>
          <w:b/>
          <w:bCs/>
          <w:sz w:val="26"/>
          <w:szCs w:val="26"/>
        </w:rPr>
        <w:t>5</w:t>
      </w:r>
      <w:r w:rsidRPr="005865B6">
        <w:rPr>
          <w:b/>
          <w:bCs/>
          <w:sz w:val="26"/>
          <w:szCs w:val="26"/>
        </w:rPr>
        <w:t xml:space="preserve"> Prihodi od prodaje proizvedene dugotrajne imovine</w:t>
      </w:r>
      <w:r w:rsidR="00A93608" w:rsidRPr="005865B6">
        <w:rPr>
          <w:b/>
          <w:bCs/>
          <w:sz w:val="26"/>
          <w:szCs w:val="26"/>
        </w:rPr>
        <w:t xml:space="preserve"> </w:t>
      </w:r>
      <w:r w:rsidR="00D421CD" w:rsidRPr="005865B6">
        <w:rPr>
          <w:b/>
          <w:bCs/>
          <w:sz w:val="26"/>
          <w:szCs w:val="26"/>
        </w:rPr>
        <w:t>(72)</w:t>
      </w:r>
    </w:p>
    <w:p w14:paraId="018C2AA4" w14:textId="25B6504A" w:rsidR="00606EB2" w:rsidRPr="005865B6" w:rsidRDefault="00606EB2">
      <w:pPr>
        <w:pStyle w:val="Standard"/>
        <w:ind w:left="540" w:hanging="540"/>
        <w:jc w:val="both"/>
        <w:rPr>
          <w:rFonts w:ascii="Arial" w:hAnsi="Arial"/>
        </w:rPr>
      </w:pPr>
    </w:p>
    <w:p w14:paraId="794C86BA" w14:textId="77777777" w:rsidR="00606EB2" w:rsidRPr="005865B6" w:rsidRDefault="00606EB2">
      <w:pPr>
        <w:pStyle w:val="Standard"/>
        <w:ind w:left="540" w:hanging="540"/>
        <w:jc w:val="both"/>
        <w:rPr>
          <w:rFonts w:ascii="Arial" w:hAnsi="Arial"/>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5865B6" w14:paraId="62DCDDBD"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D993C6"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06B7DF" w14:textId="77777777" w:rsidR="00606EB2" w:rsidRPr="005865B6" w:rsidRDefault="001436E7">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C8AE8B" w14:textId="77777777" w:rsidR="00606EB2" w:rsidRPr="005865B6" w:rsidRDefault="001436E7">
            <w:pPr>
              <w:pStyle w:val="TableContents"/>
              <w:jc w:val="center"/>
            </w:pPr>
            <w:r w:rsidRPr="005865B6">
              <w:t>Indeks</w:t>
            </w:r>
          </w:p>
        </w:tc>
      </w:tr>
      <w:tr w:rsidR="00606EB2" w:rsidRPr="005865B6" w14:paraId="34FF4A70"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4E33944B" w14:textId="746CB7D3" w:rsidR="00606EB2" w:rsidRPr="005865B6" w:rsidRDefault="00D922C1" w:rsidP="005F624E">
            <w:pPr>
              <w:pStyle w:val="TableContents"/>
              <w:jc w:val="center"/>
            </w:pPr>
            <w:r w:rsidRPr="005865B6">
              <w:t>5.808</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BCCEC05" w14:textId="77643AA7" w:rsidR="00606EB2" w:rsidRPr="005865B6" w:rsidRDefault="00332A0E" w:rsidP="005F624E">
            <w:pPr>
              <w:pStyle w:val="TableContents"/>
              <w:jc w:val="center"/>
            </w:pPr>
            <w:r w:rsidRPr="005865B6">
              <w:t>4.170</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874F6F" w14:textId="144E94D5" w:rsidR="00606EB2" w:rsidRPr="005865B6" w:rsidRDefault="00D922C1" w:rsidP="005F624E">
            <w:pPr>
              <w:pStyle w:val="TableContents"/>
              <w:jc w:val="center"/>
            </w:pPr>
            <w:r w:rsidRPr="005865B6">
              <w:t>71,8</w:t>
            </w:r>
          </w:p>
        </w:tc>
      </w:tr>
    </w:tbl>
    <w:p w14:paraId="40D780EE" w14:textId="345D103B" w:rsidR="001870ED" w:rsidRPr="005865B6" w:rsidRDefault="001870ED">
      <w:pPr>
        <w:pStyle w:val="Standard"/>
        <w:rPr>
          <w:rFonts w:ascii="Arial" w:hAnsi="Arial"/>
        </w:rPr>
      </w:pPr>
    </w:p>
    <w:p w14:paraId="694BCCB1" w14:textId="125C89B4" w:rsidR="00D922C1" w:rsidRPr="005865B6" w:rsidRDefault="00D922C1" w:rsidP="00D922C1">
      <w:pPr>
        <w:pStyle w:val="Standard"/>
        <w:jc w:val="both"/>
        <w:rPr>
          <w:b/>
          <w:bCs/>
        </w:rPr>
      </w:pPr>
      <w:r w:rsidRPr="005865B6">
        <w:rPr>
          <w:b/>
          <w:bCs/>
        </w:rPr>
        <w:t>Unutar podskupine prihoda od prodaje građevinskih objekata (AOP 306) (721) odstupanje</w:t>
      </w:r>
      <w:r w:rsidRPr="005865B6">
        <w:t xml:space="preserve"> </w:t>
      </w:r>
      <w:r w:rsidRPr="005865B6">
        <w:rPr>
          <w:b/>
          <w:bCs/>
        </w:rPr>
        <w:t>bilježi:</w:t>
      </w:r>
    </w:p>
    <w:p w14:paraId="190580CF" w14:textId="17EE7313" w:rsidR="004D4E54" w:rsidRPr="005865B6" w:rsidRDefault="00D922C1" w:rsidP="004D4E54">
      <w:pPr>
        <w:pStyle w:val="Standard"/>
        <w:jc w:val="both"/>
      </w:pPr>
      <w:r w:rsidRPr="005865B6">
        <w:t>(AOP 307) prihod od</w:t>
      </w:r>
      <w:r w:rsidR="00DD7448" w:rsidRPr="005865B6">
        <w:t xml:space="preserve"> prodaje</w:t>
      </w:r>
      <w:r w:rsidRPr="005865B6">
        <w:t xml:space="preserve"> stambenih objekata</w:t>
      </w:r>
      <w:r w:rsidR="004D4E54" w:rsidRPr="005865B6">
        <w:t xml:space="preserve"> u odnosu na prethodnu godinu bilježi povećanje od 313,7% i iznosi 4.170 kn.</w:t>
      </w:r>
    </w:p>
    <w:p w14:paraId="2D7F0A1A" w14:textId="7472C7E7" w:rsidR="0035373A" w:rsidRPr="005865B6" w:rsidRDefault="0035373A" w:rsidP="004D4E54">
      <w:pPr>
        <w:pStyle w:val="Standard"/>
        <w:jc w:val="both"/>
        <w:rPr>
          <w:bCs/>
          <w:lang w:eastAsia="ar-SA"/>
        </w:rPr>
      </w:pPr>
      <w:r w:rsidRPr="005865B6">
        <w:rPr>
          <w:bCs/>
          <w:lang w:eastAsia="ar-SA"/>
        </w:rPr>
        <w:lastRenderedPageBreak/>
        <w:t>Ostvareni prihod je prihod ostvaren od prodaje stana na kojem je  postojalo  stanarsko pravo, umanjeno za 55 % povrata sredstava u državni proračun.</w:t>
      </w:r>
    </w:p>
    <w:p w14:paraId="726BECF0" w14:textId="316DB57D" w:rsidR="00204738" w:rsidRPr="005865B6" w:rsidRDefault="00204738" w:rsidP="004D4E54">
      <w:pPr>
        <w:pStyle w:val="Standard"/>
        <w:jc w:val="both"/>
        <w:rPr>
          <w:bCs/>
          <w:lang w:eastAsia="ar-SA"/>
        </w:rPr>
      </w:pPr>
    </w:p>
    <w:p w14:paraId="2C7488CC" w14:textId="0DB0B84E" w:rsidR="002F1406" w:rsidRPr="005865B6" w:rsidRDefault="002F1406">
      <w:pPr>
        <w:pStyle w:val="Standard"/>
        <w:jc w:val="both"/>
        <w:rPr>
          <w:b/>
          <w:bCs/>
        </w:rPr>
      </w:pPr>
    </w:p>
    <w:p w14:paraId="7EE5CBB5" w14:textId="1A7C61D0" w:rsidR="002F1406" w:rsidRPr="005865B6" w:rsidRDefault="002F1406" w:rsidP="002F1406">
      <w:pPr>
        <w:pStyle w:val="Standard"/>
        <w:jc w:val="both"/>
        <w:rPr>
          <w:b/>
          <w:color w:val="000000"/>
        </w:rPr>
      </w:pPr>
      <w:bookmarkStart w:id="1" w:name="_Hlk63940010"/>
      <w:r w:rsidRPr="005865B6">
        <w:rPr>
          <w:b/>
          <w:color w:val="000000"/>
        </w:rPr>
        <w:t>AOP 477 Primici od zaduživanja</w:t>
      </w:r>
      <w:r w:rsidR="00BC1CC8" w:rsidRPr="005865B6">
        <w:rPr>
          <w:b/>
          <w:color w:val="000000"/>
        </w:rPr>
        <w:t xml:space="preserve"> (84)</w:t>
      </w:r>
    </w:p>
    <w:p w14:paraId="50C4D7C4" w14:textId="77777777" w:rsidR="002F1406" w:rsidRPr="005865B6" w:rsidRDefault="002F1406" w:rsidP="002F1406">
      <w:pPr>
        <w:pStyle w:val="Standard"/>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5"/>
        <w:gridCol w:w="3015"/>
        <w:gridCol w:w="1905"/>
      </w:tblGrid>
      <w:tr w:rsidR="002F1406" w:rsidRPr="005865B6" w14:paraId="1016528C" w14:textId="77777777" w:rsidTr="002F1406">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A965218" w14:textId="77777777" w:rsidR="002F1406" w:rsidRPr="005865B6" w:rsidRDefault="002F1406">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3D83F07" w14:textId="77777777" w:rsidR="002F1406" w:rsidRPr="005865B6" w:rsidRDefault="002F1406">
            <w:pPr>
              <w:pStyle w:val="TableContents"/>
              <w:jc w:val="center"/>
            </w:pPr>
            <w:r w:rsidRPr="005865B6">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9F6E75A" w14:textId="77777777" w:rsidR="002F1406" w:rsidRPr="005865B6" w:rsidRDefault="002F1406">
            <w:pPr>
              <w:pStyle w:val="TableContents"/>
              <w:jc w:val="center"/>
            </w:pPr>
            <w:r w:rsidRPr="005865B6">
              <w:t>Indeks</w:t>
            </w:r>
          </w:p>
        </w:tc>
      </w:tr>
      <w:tr w:rsidR="002F1406" w:rsidRPr="005865B6" w14:paraId="6BB587B6" w14:textId="77777777" w:rsidTr="002F1406">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4369793C" w14:textId="23ED4E29" w:rsidR="002F1406" w:rsidRPr="005865B6" w:rsidRDefault="001D7A2F">
            <w:pPr>
              <w:pStyle w:val="TableContents"/>
              <w:jc w:val="center"/>
            </w:pPr>
            <w:r w:rsidRPr="005865B6">
              <w:t>399.382</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405CCB5D" w14:textId="55214B07" w:rsidR="002F1406" w:rsidRPr="005865B6" w:rsidRDefault="002F1406">
            <w:pPr>
              <w:pStyle w:val="TableContents"/>
              <w:jc w:val="center"/>
            </w:pPr>
            <w:r w:rsidRPr="005865B6">
              <w:t>1.</w:t>
            </w:r>
            <w:r w:rsidR="00206465" w:rsidRPr="005865B6">
              <w:t>461.580</w:t>
            </w:r>
          </w:p>
        </w:tc>
        <w:tc>
          <w:tcPr>
            <w:tcW w:w="19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2F27D16" w14:textId="0991BB65" w:rsidR="002F1406" w:rsidRPr="005865B6" w:rsidRDefault="00206465">
            <w:pPr>
              <w:pStyle w:val="TableContents"/>
              <w:jc w:val="center"/>
            </w:pPr>
            <w:r w:rsidRPr="005865B6">
              <w:t>366,0</w:t>
            </w:r>
          </w:p>
        </w:tc>
      </w:tr>
    </w:tbl>
    <w:p w14:paraId="2E243F57" w14:textId="5749DF5A" w:rsidR="002F1406" w:rsidRPr="005865B6" w:rsidRDefault="002F1406" w:rsidP="002F1406">
      <w:pPr>
        <w:jc w:val="center"/>
      </w:pPr>
    </w:p>
    <w:bookmarkEnd w:id="1"/>
    <w:p w14:paraId="3F9EA793" w14:textId="481C4EE8" w:rsidR="002F1406" w:rsidRPr="005865B6" w:rsidRDefault="002F1406" w:rsidP="002F1406">
      <w:pPr>
        <w:rPr>
          <w:b/>
          <w:bCs/>
        </w:rPr>
      </w:pPr>
      <w:r w:rsidRPr="005865B6">
        <w:rPr>
          <w:b/>
          <w:bCs/>
        </w:rPr>
        <w:t>Unutar podskupine primljeni krediti i zajmovi od kreditnih i ostalih financijskih institucija izvana javnog sektora (AOP 488) odstupanje bilježi:</w:t>
      </w:r>
    </w:p>
    <w:p w14:paraId="448F8A5E" w14:textId="77777777" w:rsidR="002F1406" w:rsidRPr="005865B6" w:rsidRDefault="002F1406" w:rsidP="002F1406">
      <w:pPr>
        <w:jc w:val="both"/>
      </w:pPr>
    </w:p>
    <w:p w14:paraId="51BC1B6D" w14:textId="429B5B31" w:rsidR="002F1406" w:rsidRPr="005865B6" w:rsidRDefault="002F1406" w:rsidP="00810A55">
      <w:pPr>
        <w:jc w:val="both"/>
      </w:pPr>
      <w:r w:rsidRPr="005865B6">
        <w:t xml:space="preserve">(AOP 488) primljeni krediti od tuzemnih kreditnih institucija izvan javnog sektora -  </w:t>
      </w:r>
    </w:p>
    <w:p w14:paraId="3875184A" w14:textId="1243AF6B" w:rsidR="002F1406" w:rsidRPr="005865B6" w:rsidRDefault="002F1406" w:rsidP="002F1406">
      <w:pPr>
        <w:jc w:val="both"/>
      </w:pPr>
      <w:r w:rsidRPr="005865B6">
        <w:t>1.100.618 kn.</w:t>
      </w:r>
    </w:p>
    <w:p w14:paraId="49AD56FD" w14:textId="636D9979" w:rsidR="006F2F8F" w:rsidRPr="005865B6" w:rsidRDefault="006F2F8F" w:rsidP="002F1406">
      <w:pPr>
        <w:jc w:val="both"/>
      </w:pPr>
      <w:r w:rsidRPr="005865B6">
        <w:t>(AOP 501) primljeni zajmovi od državnog proračuna – u iznosu 360.962 kn.</w:t>
      </w:r>
    </w:p>
    <w:p w14:paraId="0A219C82" w14:textId="1411686C" w:rsidR="0006073F" w:rsidRPr="005865B6" w:rsidRDefault="0006073F" w:rsidP="0006073F">
      <w:pPr>
        <w:jc w:val="both"/>
        <w:rPr>
          <w:rFonts w:eastAsia="Times New Roman" w:cs="Times New Roman"/>
          <w:b/>
          <w:bCs/>
          <w:kern w:val="0"/>
          <w:lang w:eastAsia="ar-SA"/>
        </w:rPr>
      </w:pPr>
      <w:r w:rsidRPr="005865B6">
        <w:t>Obzirom da je povrat poreza u 2020. godinu bio veliki zbog povrata koje su ostvarili mlađi od 30 godina, općina na navedenom računu nije imala dovoljna sredstava pa su nedostajuća sredstva namirena iz državnog proračuna. Navedeni iznos je u izvještajnom razdoblju prikazan kao obveza za zajmove iz državnog proračuna i kao primitak od kratkoročnog zajma iz državnog proračuna. Navedeni zajam će Općina Veliki Bukovec otplatiti kroz 4 rate u 2022. godini.</w:t>
      </w:r>
    </w:p>
    <w:p w14:paraId="467DE724" w14:textId="77777777" w:rsidR="0006073F" w:rsidRPr="005865B6" w:rsidRDefault="0006073F" w:rsidP="0006073F">
      <w:pPr>
        <w:widowControl/>
        <w:jc w:val="center"/>
        <w:rPr>
          <w:rFonts w:eastAsia="Times New Roman" w:cs="Times New Roman"/>
          <w:b/>
          <w:bCs/>
          <w:kern w:val="0"/>
          <w:lang w:eastAsia="ar-SA"/>
        </w:rPr>
      </w:pPr>
    </w:p>
    <w:p w14:paraId="76CE81E2" w14:textId="77777777" w:rsidR="00112C74" w:rsidRPr="005865B6" w:rsidRDefault="00112C74">
      <w:pPr>
        <w:pStyle w:val="Standard"/>
        <w:jc w:val="both"/>
        <w:rPr>
          <w:rFonts w:ascii="Arial" w:hAnsi="Arial" w:cs="Arial"/>
          <w:b/>
          <w:bCs/>
        </w:rPr>
      </w:pPr>
    </w:p>
    <w:p w14:paraId="6B59B336" w14:textId="40040DFA" w:rsidR="00606EB2" w:rsidRPr="005865B6" w:rsidRDefault="001436E7" w:rsidP="006D6432">
      <w:pPr>
        <w:pStyle w:val="Standard"/>
        <w:numPr>
          <w:ilvl w:val="0"/>
          <w:numId w:val="3"/>
        </w:numPr>
        <w:jc w:val="both"/>
        <w:rPr>
          <w:rFonts w:ascii="Arial" w:hAnsi="Arial" w:cs="Arial"/>
          <w:b/>
          <w:bCs/>
        </w:rPr>
      </w:pPr>
      <w:r w:rsidRPr="005865B6">
        <w:rPr>
          <w:rFonts w:ascii="Arial" w:hAnsi="Arial" w:cs="Arial"/>
          <w:b/>
          <w:bCs/>
        </w:rPr>
        <w:t>RASHODI POSLOVANJA</w:t>
      </w:r>
      <w:r w:rsidR="006D6432" w:rsidRPr="005865B6">
        <w:rPr>
          <w:rFonts w:ascii="Arial" w:hAnsi="Arial" w:cs="Arial"/>
          <w:b/>
          <w:bCs/>
        </w:rPr>
        <w:t xml:space="preserve"> (3)</w:t>
      </w:r>
    </w:p>
    <w:p w14:paraId="025D4AD6" w14:textId="77777777" w:rsidR="006D6432" w:rsidRPr="005865B6" w:rsidRDefault="006D6432" w:rsidP="006D6432">
      <w:pPr>
        <w:pStyle w:val="Standard"/>
        <w:ind w:left="360"/>
        <w:jc w:val="both"/>
      </w:pPr>
    </w:p>
    <w:p w14:paraId="7670560B" w14:textId="5E174F42" w:rsidR="006D6432" w:rsidRPr="005865B6" w:rsidRDefault="006D6432" w:rsidP="006D6432">
      <w:pPr>
        <w:pStyle w:val="Standard"/>
        <w:jc w:val="both"/>
      </w:pPr>
      <w:r w:rsidRPr="005865B6">
        <w:t>Iz izvještaja je vidljivo kako su rashodi poslovanja AOP 146 ostvareni 92,1 % u odnosu na ostvarenje prethodne godine. Unutar pojedinih pozicija ima većih i manjih odstupanja u odnosu na izvještajno razdoblje prethodne godine.</w:t>
      </w:r>
    </w:p>
    <w:p w14:paraId="6C1C061B" w14:textId="77777777" w:rsidR="006D6432" w:rsidRPr="005865B6" w:rsidRDefault="006D6432" w:rsidP="006D6432">
      <w:pPr>
        <w:pStyle w:val="Standard"/>
        <w:jc w:val="both"/>
        <w:rPr>
          <w:rFonts w:ascii="Arial" w:hAnsi="Arial" w:cs="Arial"/>
          <w:b/>
          <w:bCs/>
        </w:rPr>
      </w:pPr>
    </w:p>
    <w:p w14:paraId="6B3CFF0C" w14:textId="77777777" w:rsidR="00606EB2" w:rsidRPr="005865B6" w:rsidRDefault="00606EB2">
      <w:pPr>
        <w:pStyle w:val="Standard"/>
        <w:jc w:val="both"/>
        <w:rPr>
          <w:rFonts w:ascii="Arial" w:hAnsi="Arial" w:cs="Arial"/>
        </w:rPr>
      </w:pPr>
    </w:p>
    <w:p w14:paraId="1E1166DF" w14:textId="1D4DDF39" w:rsidR="00606EB2" w:rsidRPr="005865B6" w:rsidRDefault="001436E7">
      <w:pPr>
        <w:pStyle w:val="Standard"/>
        <w:rPr>
          <w:b/>
          <w:bCs/>
          <w:sz w:val="26"/>
          <w:szCs w:val="26"/>
        </w:rPr>
      </w:pPr>
      <w:r w:rsidRPr="005865B6">
        <w:rPr>
          <w:b/>
          <w:bCs/>
          <w:sz w:val="26"/>
          <w:szCs w:val="26"/>
        </w:rPr>
        <w:t>AOP 14</w:t>
      </w:r>
      <w:r w:rsidR="00A6037A" w:rsidRPr="005865B6">
        <w:rPr>
          <w:b/>
          <w:bCs/>
          <w:sz w:val="26"/>
          <w:szCs w:val="26"/>
        </w:rPr>
        <w:t>7</w:t>
      </w:r>
      <w:r w:rsidRPr="005865B6">
        <w:rPr>
          <w:b/>
          <w:bCs/>
          <w:sz w:val="26"/>
          <w:szCs w:val="26"/>
        </w:rPr>
        <w:t xml:space="preserve"> Rashodi za zaposlene</w:t>
      </w:r>
    </w:p>
    <w:p w14:paraId="1CA44810" w14:textId="77777777" w:rsidR="00606EB2" w:rsidRPr="005865B6" w:rsidRDefault="00606EB2">
      <w:pPr>
        <w:pStyle w:val="Standard"/>
        <w:rPr>
          <w:rFonts w:ascii="Arial" w:hAnsi="Arial"/>
        </w:rPr>
      </w:pPr>
    </w:p>
    <w:tbl>
      <w:tblPr>
        <w:tblW w:w="7950" w:type="dxa"/>
        <w:tblLayout w:type="fixed"/>
        <w:tblCellMar>
          <w:left w:w="10" w:type="dxa"/>
          <w:right w:w="10" w:type="dxa"/>
        </w:tblCellMar>
        <w:tblLook w:val="0000" w:firstRow="0" w:lastRow="0" w:firstColumn="0" w:lastColumn="0" w:noHBand="0" w:noVBand="0"/>
      </w:tblPr>
      <w:tblGrid>
        <w:gridCol w:w="3023"/>
        <w:gridCol w:w="3024"/>
        <w:gridCol w:w="1903"/>
      </w:tblGrid>
      <w:tr w:rsidR="00606EB2" w:rsidRPr="005865B6" w14:paraId="1D98838B" w14:textId="77777777">
        <w:tc>
          <w:tcPr>
            <w:tcW w:w="3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6D597D" w14:textId="77777777" w:rsidR="00606EB2" w:rsidRPr="005865B6" w:rsidRDefault="001436E7">
            <w:pPr>
              <w:pStyle w:val="TableContents"/>
              <w:jc w:val="center"/>
            </w:pPr>
            <w:r w:rsidRPr="005865B6">
              <w:t>Ostvareno u izvještajnom razdoblju prethodne godine</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0EFBC9" w14:textId="77777777" w:rsidR="00606EB2" w:rsidRPr="005865B6" w:rsidRDefault="001436E7">
            <w:pPr>
              <w:pStyle w:val="TableContents"/>
              <w:jc w:val="center"/>
            </w:pPr>
            <w:r w:rsidRPr="005865B6">
              <w:t>Ostvareno u izvještajnom razdoblju tekuće godine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E0CA8" w14:textId="77777777" w:rsidR="00606EB2" w:rsidRPr="005865B6" w:rsidRDefault="001436E7">
            <w:pPr>
              <w:pStyle w:val="TableContents"/>
              <w:jc w:val="center"/>
            </w:pPr>
            <w:r w:rsidRPr="005865B6">
              <w:t>Indeks</w:t>
            </w:r>
          </w:p>
        </w:tc>
      </w:tr>
      <w:tr w:rsidR="00606EB2" w:rsidRPr="005865B6" w14:paraId="2FF4F6E4"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7EFB1E5E" w14:textId="68FFEE47" w:rsidR="00606EB2" w:rsidRPr="005865B6" w:rsidRDefault="005F60D9">
            <w:pPr>
              <w:pStyle w:val="TableContents"/>
              <w:jc w:val="center"/>
            </w:pPr>
            <w:r w:rsidRPr="005865B6">
              <w:t>624.306</w:t>
            </w: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tcPr>
          <w:p w14:paraId="02C9092B" w14:textId="3AC8832D" w:rsidR="00606EB2" w:rsidRPr="005865B6" w:rsidRDefault="005F60D9">
            <w:pPr>
              <w:pStyle w:val="TableContents"/>
              <w:jc w:val="center"/>
            </w:pPr>
            <w:r w:rsidRPr="005865B6">
              <w:t>623.050</w:t>
            </w:r>
          </w:p>
        </w:tc>
        <w:tc>
          <w:tcPr>
            <w:tcW w:w="1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716466" w14:textId="65C815DF" w:rsidR="00606EB2" w:rsidRPr="005865B6" w:rsidRDefault="005F60D9">
            <w:pPr>
              <w:pStyle w:val="TableContents"/>
              <w:jc w:val="center"/>
            </w:pPr>
            <w:r w:rsidRPr="005865B6">
              <w:t>99,8</w:t>
            </w:r>
          </w:p>
          <w:p w14:paraId="1A259C96" w14:textId="77777777" w:rsidR="00606EB2" w:rsidRPr="005865B6" w:rsidRDefault="00606EB2">
            <w:pPr>
              <w:pStyle w:val="TableContents"/>
              <w:jc w:val="center"/>
            </w:pPr>
          </w:p>
        </w:tc>
      </w:tr>
    </w:tbl>
    <w:p w14:paraId="63B05ED8" w14:textId="77777777" w:rsidR="00606EB2" w:rsidRPr="005865B6" w:rsidRDefault="00606EB2">
      <w:pPr>
        <w:pStyle w:val="Standard"/>
        <w:rPr>
          <w:rFonts w:ascii="Arial" w:hAnsi="Arial"/>
        </w:rPr>
      </w:pPr>
    </w:p>
    <w:p w14:paraId="00337265" w14:textId="26792305" w:rsidR="00606EB2" w:rsidRPr="005865B6" w:rsidRDefault="001436E7">
      <w:pPr>
        <w:pStyle w:val="Standard"/>
        <w:jc w:val="both"/>
      </w:pPr>
      <w:r w:rsidRPr="005865B6">
        <w:t>Ovi rashodi izvršeni su u iznosu od</w:t>
      </w:r>
      <w:r w:rsidR="008F0601" w:rsidRPr="005865B6">
        <w:t xml:space="preserve"> </w:t>
      </w:r>
      <w:r w:rsidR="005F60D9" w:rsidRPr="005865B6">
        <w:t>623.050</w:t>
      </w:r>
      <w:r w:rsidR="00F6489B" w:rsidRPr="005865B6">
        <w:t xml:space="preserve"> </w:t>
      </w:r>
      <w:r w:rsidRPr="005865B6">
        <w:t xml:space="preserve">kn ili </w:t>
      </w:r>
      <w:r w:rsidR="005F60D9" w:rsidRPr="005865B6">
        <w:t>99,8</w:t>
      </w:r>
      <w:r w:rsidRPr="005865B6">
        <w:t xml:space="preserve"> % u odnosu na ostvarenje prethodne godine. Obuhvaćaju plaće za redovan rad dužnosnika, službenika i namještenika</w:t>
      </w:r>
      <w:r w:rsidR="009B3419" w:rsidRPr="005865B6">
        <w:t xml:space="preserve">. </w:t>
      </w:r>
    </w:p>
    <w:p w14:paraId="4471C69A" w14:textId="77777777" w:rsidR="00606EB2" w:rsidRPr="005865B6" w:rsidRDefault="00606EB2">
      <w:pPr>
        <w:pStyle w:val="Standard"/>
        <w:ind w:left="705"/>
        <w:jc w:val="both"/>
        <w:rPr>
          <w:rFonts w:ascii="Arial" w:hAnsi="Arial"/>
        </w:rPr>
      </w:pPr>
    </w:p>
    <w:p w14:paraId="5BDCCFDF" w14:textId="13AF420D" w:rsidR="00606EB2" w:rsidRPr="005865B6" w:rsidRDefault="001436E7">
      <w:pPr>
        <w:pStyle w:val="Standard"/>
        <w:jc w:val="both"/>
        <w:rPr>
          <w:b/>
          <w:bCs/>
          <w:sz w:val="26"/>
          <w:szCs w:val="26"/>
        </w:rPr>
      </w:pPr>
      <w:r w:rsidRPr="005865B6">
        <w:rPr>
          <w:b/>
          <w:bCs/>
          <w:sz w:val="26"/>
          <w:szCs w:val="26"/>
        </w:rPr>
        <w:t>AOP 1</w:t>
      </w:r>
      <w:r w:rsidR="003F67EF" w:rsidRPr="005865B6">
        <w:rPr>
          <w:b/>
          <w:bCs/>
          <w:sz w:val="26"/>
          <w:szCs w:val="26"/>
        </w:rPr>
        <w:t>58</w:t>
      </w:r>
      <w:r w:rsidRPr="005865B6">
        <w:rPr>
          <w:b/>
          <w:bCs/>
          <w:sz w:val="26"/>
          <w:szCs w:val="26"/>
        </w:rPr>
        <w:t xml:space="preserve"> Materijalni rashodi</w:t>
      </w:r>
    </w:p>
    <w:p w14:paraId="411F7441" w14:textId="77777777" w:rsidR="00606EB2" w:rsidRPr="005865B6" w:rsidRDefault="00606EB2">
      <w:pPr>
        <w:pStyle w:val="Standard"/>
        <w:jc w:val="both"/>
        <w:rPr>
          <w:rFonts w:ascii="Arial" w:hAnsi="Arial"/>
        </w:rPr>
      </w:pPr>
    </w:p>
    <w:tbl>
      <w:tblPr>
        <w:tblW w:w="7950" w:type="dxa"/>
        <w:tblInd w:w="-7" w:type="dxa"/>
        <w:tblLayout w:type="fixed"/>
        <w:tblCellMar>
          <w:left w:w="10" w:type="dxa"/>
          <w:right w:w="10" w:type="dxa"/>
        </w:tblCellMar>
        <w:tblLook w:val="0000" w:firstRow="0" w:lastRow="0" w:firstColumn="0" w:lastColumn="0" w:noHBand="0" w:noVBand="0"/>
      </w:tblPr>
      <w:tblGrid>
        <w:gridCol w:w="3030"/>
        <w:gridCol w:w="3015"/>
        <w:gridCol w:w="1905"/>
      </w:tblGrid>
      <w:tr w:rsidR="00606EB2" w:rsidRPr="005865B6" w14:paraId="0E585BD6" w14:textId="77777777">
        <w:tc>
          <w:tcPr>
            <w:tcW w:w="30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BBBE13"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7BE4A" w14:textId="77777777" w:rsidR="00606EB2" w:rsidRPr="005865B6" w:rsidRDefault="001436E7">
            <w:pPr>
              <w:pStyle w:val="TableContents"/>
              <w:jc w:val="center"/>
            </w:pPr>
            <w:r w:rsidRPr="005865B6">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CBD934" w14:textId="77777777" w:rsidR="00606EB2" w:rsidRPr="005865B6" w:rsidRDefault="001436E7">
            <w:pPr>
              <w:pStyle w:val="TableContents"/>
              <w:jc w:val="center"/>
            </w:pPr>
            <w:r w:rsidRPr="005865B6">
              <w:t>Indeks</w:t>
            </w:r>
          </w:p>
        </w:tc>
      </w:tr>
      <w:tr w:rsidR="00606EB2" w:rsidRPr="005865B6" w14:paraId="37C000E1" w14:textId="77777777">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14:paraId="6EC7E034" w14:textId="6909A6BB" w:rsidR="00606EB2" w:rsidRPr="005865B6" w:rsidRDefault="003D648B">
            <w:pPr>
              <w:pStyle w:val="TableContents"/>
              <w:jc w:val="center"/>
            </w:pPr>
            <w:r w:rsidRPr="005865B6">
              <w:t>1.</w:t>
            </w:r>
            <w:r w:rsidR="00377C7C" w:rsidRPr="005865B6">
              <w:t>605.249</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04F12554" w14:textId="0C034959" w:rsidR="00606EB2" w:rsidRPr="005865B6" w:rsidRDefault="00377C7C">
            <w:pPr>
              <w:pStyle w:val="TableContents"/>
              <w:jc w:val="center"/>
            </w:pPr>
            <w:r w:rsidRPr="005865B6">
              <w:t>1.325.006</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B380" w14:textId="7D43479D" w:rsidR="00606EB2" w:rsidRPr="005865B6" w:rsidRDefault="00377C7C" w:rsidP="004432AF">
            <w:pPr>
              <w:pStyle w:val="TableContents"/>
              <w:jc w:val="center"/>
            </w:pPr>
            <w:r w:rsidRPr="005865B6">
              <w:t>82,5</w:t>
            </w:r>
          </w:p>
        </w:tc>
      </w:tr>
    </w:tbl>
    <w:p w14:paraId="5BEE873C" w14:textId="77777777" w:rsidR="00606EB2" w:rsidRPr="005865B6" w:rsidRDefault="00606EB2">
      <w:pPr>
        <w:pStyle w:val="Standard"/>
        <w:jc w:val="both"/>
        <w:rPr>
          <w:rFonts w:ascii="Arial" w:hAnsi="Arial"/>
        </w:rPr>
      </w:pPr>
    </w:p>
    <w:p w14:paraId="3516092B" w14:textId="39B57532" w:rsidR="000D479E" w:rsidRPr="005865B6" w:rsidRDefault="00862D82">
      <w:pPr>
        <w:pStyle w:val="Standard"/>
        <w:jc w:val="both"/>
        <w:rPr>
          <w:b/>
        </w:rPr>
      </w:pPr>
      <w:r w:rsidRPr="005865B6">
        <w:rPr>
          <w:b/>
        </w:rPr>
        <w:t>Unutar podskupne rashoda naknade troškova zaposlenima (AOP 1</w:t>
      </w:r>
      <w:r w:rsidR="003F67EF" w:rsidRPr="005865B6">
        <w:rPr>
          <w:b/>
        </w:rPr>
        <w:t>59</w:t>
      </w:r>
      <w:r w:rsidRPr="005865B6">
        <w:rPr>
          <w:b/>
        </w:rPr>
        <w:t>) odstupanje bilježi:</w:t>
      </w:r>
    </w:p>
    <w:p w14:paraId="296A7783" w14:textId="77C894CB" w:rsidR="000D479E" w:rsidRPr="005865B6" w:rsidRDefault="000D479E">
      <w:pPr>
        <w:pStyle w:val="Standard"/>
        <w:jc w:val="both"/>
        <w:rPr>
          <w:bCs/>
        </w:rPr>
      </w:pPr>
      <w:r w:rsidRPr="005865B6">
        <w:rPr>
          <w:bCs/>
        </w:rPr>
        <w:t>(AOP 1</w:t>
      </w:r>
      <w:r w:rsidR="00E61579" w:rsidRPr="005865B6">
        <w:rPr>
          <w:bCs/>
        </w:rPr>
        <w:t>60</w:t>
      </w:r>
      <w:r w:rsidRPr="005865B6">
        <w:rPr>
          <w:bCs/>
        </w:rPr>
        <w:t xml:space="preserve">) službena putovanja izvršena su u iznosu od </w:t>
      </w:r>
      <w:r w:rsidR="00377C7C" w:rsidRPr="005865B6">
        <w:rPr>
          <w:bCs/>
        </w:rPr>
        <w:t>13.980</w:t>
      </w:r>
      <w:r w:rsidR="008B2B91" w:rsidRPr="005865B6">
        <w:rPr>
          <w:bCs/>
        </w:rPr>
        <w:t xml:space="preserve"> </w:t>
      </w:r>
      <w:r w:rsidRPr="005865B6">
        <w:rPr>
          <w:bCs/>
        </w:rPr>
        <w:t xml:space="preserve">kn ili </w:t>
      </w:r>
      <w:r w:rsidR="00377C7C" w:rsidRPr="005865B6">
        <w:rPr>
          <w:bCs/>
        </w:rPr>
        <w:t>108,3</w:t>
      </w:r>
      <w:r w:rsidRPr="005865B6">
        <w:rPr>
          <w:bCs/>
        </w:rPr>
        <w:t xml:space="preserve"> % u odnosu na ostvarenje prethodne godine.</w:t>
      </w:r>
    </w:p>
    <w:p w14:paraId="74779B9A" w14:textId="1941E57C" w:rsidR="00E21D03" w:rsidRPr="005865B6" w:rsidRDefault="00E21D03">
      <w:pPr>
        <w:pStyle w:val="Standard"/>
        <w:jc w:val="both"/>
      </w:pPr>
      <w:r w:rsidRPr="005865B6">
        <w:rPr>
          <w:bCs/>
        </w:rPr>
        <w:t>(AOP 1</w:t>
      </w:r>
      <w:r w:rsidR="00E61579" w:rsidRPr="005865B6">
        <w:rPr>
          <w:bCs/>
        </w:rPr>
        <w:t>61</w:t>
      </w:r>
      <w:r w:rsidRPr="005865B6">
        <w:rPr>
          <w:bCs/>
        </w:rPr>
        <w:t>) naknade za prijevoz, za rad na terenu i odvojeni život izvršene su u iznosu od</w:t>
      </w:r>
      <w:r w:rsidRPr="005865B6">
        <w:t xml:space="preserve"> </w:t>
      </w:r>
      <w:r w:rsidR="0091225D" w:rsidRPr="005865B6">
        <w:t>1</w:t>
      </w:r>
      <w:r w:rsidR="009D4787" w:rsidRPr="005865B6">
        <w:t>7.676</w:t>
      </w:r>
      <w:r w:rsidRPr="005865B6">
        <w:t xml:space="preserve"> kn ili </w:t>
      </w:r>
      <w:r w:rsidR="00D96678" w:rsidRPr="005865B6">
        <w:t>9</w:t>
      </w:r>
      <w:r w:rsidR="0091225D" w:rsidRPr="005865B6">
        <w:t>6</w:t>
      </w:r>
      <w:r w:rsidR="00D96678" w:rsidRPr="005865B6">
        <w:t>,</w:t>
      </w:r>
      <w:r w:rsidR="009D4787" w:rsidRPr="005865B6">
        <w:t>0</w:t>
      </w:r>
      <w:r w:rsidRPr="005865B6">
        <w:t xml:space="preserve"> % u odnosu na ostvarenje prethodne godine.</w:t>
      </w:r>
    </w:p>
    <w:p w14:paraId="2B9959EF" w14:textId="12B55E93" w:rsidR="00862D82" w:rsidRPr="005865B6" w:rsidRDefault="00D65EF3">
      <w:pPr>
        <w:pStyle w:val="Standard"/>
        <w:jc w:val="both"/>
      </w:pPr>
      <w:r w:rsidRPr="005865B6">
        <w:t>(AOP 1</w:t>
      </w:r>
      <w:r w:rsidR="00E61579" w:rsidRPr="005865B6">
        <w:t>62</w:t>
      </w:r>
      <w:r w:rsidRPr="005865B6">
        <w:t>) stručno usavršavanje zaposlenika</w:t>
      </w:r>
      <w:r w:rsidR="00FB77AD" w:rsidRPr="005865B6">
        <w:t xml:space="preserve"> ostvareno je</w:t>
      </w:r>
      <w:r w:rsidRPr="005865B6">
        <w:t xml:space="preserve"> u iznosu od </w:t>
      </w:r>
      <w:r w:rsidR="0091225D" w:rsidRPr="005865B6">
        <w:t>2.600</w:t>
      </w:r>
      <w:r w:rsidR="00D96678" w:rsidRPr="005865B6">
        <w:t xml:space="preserve"> </w:t>
      </w:r>
      <w:r w:rsidRPr="005865B6">
        <w:t xml:space="preserve">kn ili </w:t>
      </w:r>
      <w:r w:rsidR="0091225D" w:rsidRPr="005865B6">
        <w:t>371,4</w:t>
      </w:r>
      <w:r w:rsidR="00BA7FBF" w:rsidRPr="005865B6">
        <w:t xml:space="preserve"> </w:t>
      </w:r>
      <w:r w:rsidRPr="005865B6">
        <w:t>% u odnosu na ostvarenje prethodne godine.</w:t>
      </w:r>
    </w:p>
    <w:p w14:paraId="351BEA62" w14:textId="77777777" w:rsidR="00862D82" w:rsidRPr="005865B6" w:rsidRDefault="00862D82">
      <w:pPr>
        <w:pStyle w:val="Standard"/>
        <w:jc w:val="both"/>
      </w:pPr>
    </w:p>
    <w:p w14:paraId="0AFB9329" w14:textId="5482A983" w:rsidR="00606EB2" w:rsidRPr="005865B6" w:rsidRDefault="001436E7">
      <w:pPr>
        <w:pStyle w:val="Standard"/>
        <w:jc w:val="both"/>
        <w:rPr>
          <w:b/>
        </w:rPr>
      </w:pPr>
      <w:r w:rsidRPr="005865B6">
        <w:rPr>
          <w:b/>
        </w:rPr>
        <w:t>Unutar podskupine rashoda za materijal i energiju (AOP 16</w:t>
      </w:r>
      <w:r w:rsidR="00887820" w:rsidRPr="005865B6">
        <w:rPr>
          <w:b/>
        </w:rPr>
        <w:t>4</w:t>
      </w:r>
      <w:r w:rsidRPr="005865B6">
        <w:rPr>
          <w:b/>
        </w:rPr>
        <w:t>) odstupanje bilježi:</w:t>
      </w:r>
    </w:p>
    <w:p w14:paraId="70495266" w14:textId="32A06374" w:rsidR="00606EB2" w:rsidRPr="005865B6" w:rsidRDefault="001436E7">
      <w:pPr>
        <w:pStyle w:val="Standard"/>
        <w:jc w:val="both"/>
      </w:pPr>
      <w:r w:rsidRPr="005865B6">
        <w:t>(AOP 16</w:t>
      </w:r>
      <w:r w:rsidR="00887820" w:rsidRPr="005865B6">
        <w:t>5</w:t>
      </w:r>
      <w:r w:rsidRPr="005865B6">
        <w:t>) uredski materijal i ostali materijalni r</w:t>
      </w:r>
      <w:r w:rsidR="00521830" w:rsidRPr="005865B6">
        <w:t>ashodi izvršeni su u iznosu od</w:t>
      </w:r>
      <w:r w:rsidR="000C46B9" w:rsidRPr="005865B6">
        <w:t xml:space="preserve"> </w:t>
      </w:r>
      <w:r w:rsidR="00676978" w:rsidRPr="005865B6">
        <w:t>30.697</w:t>
      </w:r>
      <w:r w:rsidRPr="005865B6">
        <w:t xml:space="preserve"> kn ili </w:t>
      </w:r>
      <w:r w:rsidR="00676978" w:rsidRPr="005865B6">
        <w:t>96,0</w:t>
      </w:r>
      <w:r w:rsidR="00521830" w:rsidRPr="005865B6">
        <w:t xml:space="preserve"> </w:t>
      </w:r>
      <w:r w:rsidRPr="005865B6">
        <w:t xml:space="preserve">% u odnosu na ostvarenje prethodne godine. </w:t>
      </w:r>
    </w:p>
    <w:p w14:paraId="0BE1D44F" w14:textId="26C6D3BB" w:rsidR="001805E6" w:rsidRPr="005865B6" w:rsidRDefault="00442ECF">
      <w:pPr>
        <w:pStyle w:val="Standard"/>
        <w:jc w:val="both"/>
      </w:pPr>
      <w:r w:rsidRPr="005865B6">
        <w:t xml:space="preserve">(AOP 167) rashodi za energiju izvršeni su u iznosu </w:t>
      </w:r>
      <w:r w:rsidR="004D4660" w:rsidRPr="005865B6">
        <w:t>121.985</w:t>
      </w:r>
      <w:r w:rsidRPr="005865B6">
        <w:t xml:space="preserve"> kn ili </w:t>
      </w:r>
      <w:r w:rsidR="004D4660" w:rsidRPr="005865B6">
        <w:t>114,0</w:t>
      </w:r>
      <w:r w:rsidRPr="005865B6">
        <w:t xml:space="preserve"> % u odnosu na os</w:t>
      </w:r>
      <w:r w:rsidR="001805E6" w:rsidRPr="005865B6">
        <w:t>t</w:t>
      </w:r>
      <w:r w:rsidRPr="005865B6">
        <w:t xml:space="preserve">varenje prethodne godine. </w:t>
      </w:r>
      <w:r w:rsidR="00914589" w:rsidRPr="005865B6">
        <w:t xml:space="preserve">Radi </w:t>
      </w:r>
      <w:r w:rsidR="00B52F79" w:rsidRPr="005865B6">
        <w:t>veće</w:t>
      </w:r>
      <w:r w:rsidR="00914589" w:rsidRPr="005865B6">
        <w:t xml:space="preserve"> potrošnje energenata u izvještajnom razdoblju ove godine došlo je do iskazanog </w:t>
      </w:r>
      <w:r w:rsidR="00C65883" w:rsidRPr="005865B6">
        <w:t>povećanja.</w:t>
      </w:r>
    </w:p>
    <w:p w14:paraId="1FDE81B2" w14:textId="2353FEA4" w:rsidR="00567E14" w:rsidRPr="005865B6" w:rsidRDefault="00567E14">
      <w:pPr>
        <w:pStyle w:val="Standard"/>
        <w:jc w:val="both"/>
      </w:pPr>
      <w:r w:rsidRPr="005865B6">
        <w:t>(AOP 1</w:t>
      </w:r>
      <w:r w:rsidR="00442ECF" w:rsidRPr="005865B6">
        <w:t>68</w:t>
      </w:r>
      <w:r w:rsidRPr="005865B6">
        <w:t xml:space="preserve">) materijal i dijelovi za tekuće i investicijsko održavanje izvršeni su u iznosu od </w:t>
      </w:r>
      <w:r w:rsidR="00321EE6" w:rsidRPr="005865B6">
        <w:t>1</w:t>
      </w:r>
      <w:r w:rsidR="00F656BE" w:rsidRPr="005865B6">
        <w:t>6.852</w:t>
      </w:r>
      <w:r w:rsidR="00694D78" w:rsidRPr="005865B6">
        <w:t xml:space="preserve"> </w:t>
      </w:r>
      <w:r w:rsidRPr="005865B6">
        <w:t xml:space="preserve"> kn ili </w:t>
      </w:r>
      <w:r w:rsidR="00442ECF" w:rsidRPr="005865B6">
        <w:t>4</w:t>
      </w:r>
      <w:r w:rsidR="00F656BE" w:rsidRPr="005865B6">
        <w:t>4</w:t>
      </w:r>
      <w:r w:rsidR="00321EE6" w:rsidRPr="005865B6">
        <w:t>,</w:t>
      </w:r>
      <w:r w:rsidR="00F656BE" w:rsidRPr="005865B6">
        <w:t>3</w:t>
      </w:r>
      <w:r w:rsidRPr="005865B6">
        <w:t xml:space="preserve"> % u odnosu na ostvarenje prethodne godine.</w:t>
      </w:r>
    </w:p>
    <w:p w14:paraId="362243F6" w14:textId="680B615E" w:rsidR="001447D1" w:rsidRPr="005865B6" w:rsidRDefault="00567E14">
      <w:pPr>
        <w:pStyle w:val="Standard"/>
        <w:jc w:val="both"/>
      </w:pPr>
      <w:r w:rsidRPr="005865B6">
        <w:t xml:space="preserve">Zbog </w:t>
      </w:r>
      <w:r w:rsidR="00442ECF" w:rsidRPr="005865B6">
        <w:t>smanjenja</w:t>
      </w:r>
      <w:r w:rsidRPr="005865B6">
        <w:t xml:space="preserve"> rashoda za materijal i dijelove za tekuće i investicijsko održavanje došlo je do </w:t>
      </w:r>
      <w:r w:rsidR="00442ECF" w:rsidRPr="005865B6">
        <w:t>smanjenja</w:t>
      </w:r>
      <w:r w:rsidRPr="005865B6">
        <w:t xml:space="preserve"> u izvještajnom razdoblju.</w:t>
      </w:r>
    </w:p>
    <w:p w14:paraId="4978EB14" w14:textId="008634E0" w:rsidR="00731427" w:rsidRPr="005865B6" w:rsidRDefault="00731427">
      <w:pPr>
        <w:pStyle w:val="Standard"/>
        <w:jc w:val="both"/>
      </w:pPr>
      <w:r w:rsidRPr="005865B6">
        <w:t>(AOP 169) rashodi za sitni inventar i auto</w:t>
      </w:r>
      <w:r w:rsidR="0080543E" w:rsidRPr="005865B6">
        <w:t xml:space="preserve"> </w:t>
      </w:r>
      <w:r w:rsidRPr="005865B6">
        <w:t xml:space="preserve">gume izvršeni su u iznosu </w:t>
      </w:r>
      <w:r w:rsidR="00DD24C3" w:rsidRPr="005865B6">
        <w:t>10.974</w:t>
      </w:r>
      <w:r w:rsidR="00BE70CC" w:rsidRPr="005865B6">
        <w:t xml:space="preserve"> </w:t>
      </w:r>
      <w:r w:rsidRPr="005865B6">
        <w:t xml:space="preserve">kn ili </w:t>
      </w:r>
      <w:r w:rsidR="00DD24C3" w:rsidRPr="005865B6">
        <w:t>264,5</w:t>
      </w:r>
      <w:r w:rsidRPr="005865B6">
        <w:t xml:space="preserve"> % u odnosu na ostvarenje prethodne godine.</w:t>
      </w:r>
    </w:p>
    <w:p w14:paraId="3AE12935" w14:textId="314FE557" w:rsidR="00F851FC" w:rsidRPr="005865B6" w:rsidRDefault="00F851FC">
      <w:pPr>
        <w:pStyle w:val="Standard"/>
        <w:jc w:val="both"/>
      </w:pPr>
      <w:r w:rsidRPr="005865B6">
        <w:t>Razlog povećanju je nabava sitnog inventara u izvještajnom razdoblju ove godine.</w:t>
      </w:r>
    </w:p>
    <w:p w14:paraId="50BDD8F6" w14:textId="57120899" w:rsidR="00731427" w:rsidRPr="005865B6" w:rsidRDefault="00731427">
      <w:pPr>
        <w:pStyle w:val="Standard"/>
        <w:jc w:val="both"/>
      </w:pPr>
      <w:r w:rsidRPr="005865B6">
        <w:t xml:space="preserve">(AOP 171) rashodi za službenu, radnu i zaštitnu odjeću i obuću izvršeni su u iznosu </w:t>
      </w:r>
      <w:r w:rsidR="00F05CFB" w:rsidRPr="005865B6">
        <w:t>307</w:t>
      </w:r>
      <w:r w:rsidRPr="005865B6">
        <w:t xml:space="preserve"> kn</w:t>
      </w:r>
      <w:r w:rsidR="00722FD7" w:rsidRPr="005865B6">
        <w:t xml:space="preserve"> ili 16,6% u odnosu na ostvarenje prethodne godine. </w:t>
      </w:r>
    </w:p>
    <w:p w14:paraId="65690FC1" w14:textId="77777777" w:rsidR="00967FD0" w:rsidRPr="005865B6" w:rsidRDefault="00967FD0">
      <w:pPr>
        <w:pStyle w:val="Standard"/>
        <w:jc w:val="both"/>
      </w:pPr>
    </w:p>
    <w:p w14:paraId="0A8E43AC" w14:textId="44BAF4C1" w:rsidR="00606EB2" w:rsidRPr="005865B6" w:rsidRDefault="001436E7">
      <w:pPr>
        <w:pStyle w:val="Standard"/>
        <w:jc w:val="both"/>
      </w:pPr>
      <w:r w:rsidRPr="005865B6">
        <w:rPr>
          <w:b/>
        </w:rPr>
        <w:t>Unutar podskupine rashoda za usluge (AOP 17</w:t>
      </w:r>
      <w:r w:rsidR="0092113A" w:rsidRPr="005865B6">
        <w:rPr>
          <w:b/>
        </w:rPr>
        <w:t>2</w:t>
      </w:r>
      <w:r w:rsidRPr="005865B6">
        <w:rPr>
          <w:b/>
        </w:rPr>
        <w:t>) odstupanje bilježi</w:t>
      </w:r>
      <w:r w:rsidRPr="005865B6">
        <w:t>:</w:t>
      </w:r>
    </w:p>
    <w:p w14:paraId="0EC6C7D2" w14:textId="25F5619F" w:rsidR="00606EB2" w:rsidRPr="005865B6" w:rsidRDefault="001436E7">
      <w:pPr>
        <w:pStyle w:val="Standard"/>
        <w:jc w:val="both"/>
      </w:pPr>
      <w:r w:rsidRPr="005865B6">
        <w:t>(AOP 17</w:t>
      </w:r>
      <w:r w:rsidR="0092113A" w:rsidRPr="005865B6">
        <w:t>3</w:t>
      </w:r>
      <w:r w:rsidRPr="005865B6">
        <w:t>) rashod</w:t>
      </w:r>
      <w:r w:rsidR="00FF7BF3" w:rsidRPr="005865B6">
        <w:t>i</w:t>
      </w:r>
      <w:r w:rsidRPr="005865B6">
        <w:t xml:space="preserve"> za  usluge telefona, pošte i pr</w:t>
      </w:r>
      <w:r w:rsidR="000566AD" w:rsidRPr="005865B6">
        <w:t xml:space="preserve">ijevoza izvršeni su u iznosu od </w:t>
      </w:r>
      <w:r w:rsidR="006B6266" w:rsidRPr="005865B6">
        <w:t>30.864</w:t>
      </w:r>
      <w:r w:rsidRPr="005865B6">
        <w:t xml:space="preserve"> kn ili </w:t>
      </w:r>
      <w:r w:rsidR="0092113A" w:rsidRPr="005865B6">
        <w:t>1</w:t>
      </w:r>
      <w:r w:rsidR="006B6266" w:rsidRPr="005865B6">
        <w:t>45</w:t>
      </w:r>
      <w:r w:rsidR="002F07AD" w:rsidRPr="005865B6">
        <w:t>,</w:t>
      </w:r>
      <w:r w:rsidR="006B6266" w:rsidRPr="005865B6">
        <w:t>7</w:t>
      </w:r>
      <w:r w:rsidR="008902B7" w:rsidRPr="005865B6">
        <w:t xml:space="preserve"> </w:t>
      </w:r>
      <w:r w:rsidRPr="005865B6">
        <w:t xml:space="preserve"> % u odnosu na ostvarenje prethodne godine.</w:t>
      </w:r>
    </w:p>
    <w:p w14:paraId="7AEC8ED0" w14:textId="08706965" w:rsidR="00CA4269" w:rsidRPr="005865B6" w:rsidRDefault="00131382">
      <w:pPr>
        <w:pStyle w:val="Standard"/>
        <w:jc w:val="both"/>
      </w:pPr>
      <w:r w:rsidRPr="005865B6">
        <w:t xml:space="preserve">Radi </w:t>
      </w:r>
      <w:r w:rsidR="0092113A" w:rsidRPr="005865B6">
        <w:t xml:space="preserve">većih </w:t>
      </w:r>
      <w:r w:rsidRPr="005865B6">
        <w:t xml:space="preserve"> troškova za u</w:t>
      </w:r>
      <w:r w:rsidR="00E54C5D" w:rsidRPr="005865B6">
        <w:t xml:space="preserve">sluge </w:t>
      </w:r>
      <w:r w:rsidR="00CD0DC6" w:rsidRPr="005865B6">
        <w:t>poštarin</w:t>
      </w:r>
      <w:r w:rsidRPr="005865B6">
        <w:t>e</w:t>
      </w:r>
      <w:r w:rsidR="009B674D" w:rsidRPr="005865B6">
        <w:t xml:space="preserve"> i mjesečne naknade za mobitele i telefone</w:t>
      </w:r>
      <w:r w:rsidRPr="005865B6">
        <w:t xml:space="preserve"> u izvještajnom razdoblju došlo je do iskazanog </w:t>
      </w:r>
      <w:r w:rsidR="0092113A" w:rsidRPr="005865B6">
        <w:t>povećanja</w:t>
      </w:r>
      <w:r w:rsidRPr="005865B6">
        <w:t>.</w:t>
      </w:r>
    </w:p>
    <w:p w14:paraId="455BC317" w14:textId="6A4B4B99" w:rsidR="005D6C24" w:rsidRPr="005865B6" w:rsidRDefault="005D6C24">
      <w:pPr>
        <w:pStyle w:val="Standard"/>
        <w:jc w:val="both"/>
      </w:pPr>
      <w:r w:rsidRPr="005865B6">
        <w:t xml:space="preserve">(AOP 174) rashodi za usluge tekućeg i investicijskog održavanja izvršeni su u iznosu </w:t>
      </w:r>
      <w:r w:rsidR="00CB43AE" w:rsidRPr="005865B6">
        <w:t>308.925</w:t>
      </w:r>
      <w:r w:rsidR="00507E42" w:rsidRPr="005865B6">
        <w:t xml:space="preserve"> </w:t>
      </w:r>
      <w:r w:rsidRPr="005865B6">
        <w:t xml:space="preserve">kn ili </w:t>
      </w:r>
      <w:r w:rsidR="00F60FA6" w:rsidRPr="005865B6">
        <w:t>4</w:t>
      </w:r>
      <w:r w:rsidR="00CB43AE" w:rsidRPr="005865B6">
        <w:t>6,5</w:t>
      </w:r>
      <w:r w:rsidRPr="005865B6">
        <w:t xml:space="preserve"> % u odnosu na ostvarenje prethodne godine.</w:t>
      </w:r>
    </w:p>
    <w:p w14:paraId="5C8D8C25" w14:textId="38284C8A" w:rsidR="00CB6861" w:rsidRPr="005865B6" w:rsidRDefault="00CB6861" w:rsidP="00FB1DA7">
      <w:pPr>
        <w:pStyle w:val="Standard"/>
        <w:jc w:val="both"/>
      </w:pPr>
      <w:r w:rsidRPr="005865B6">
        <w:t>Radi manje</w:t>
      </w:r>
      <w:r w:rsidR="00507E42" w:rsidRPr="005865B6">
        <w:t xml:space="preserve"> nastalih troškova za </w:t>
      </w:r>
      <w:r w:rsidRPr="005865B6">
        <w:t xml:space="preserve"> tekuće i investicijsko održavanj</w:t>
      </w:r>
      <w:r w:rsidR="00507E42" w:rsidRPr="005865B6">
        <w:t>e</w:t>
      </w:r>
      <w:r w:rsidRPr="005865B6">
        <w:t xml:space="preserve"> ove godine došlo je do iskazanog smanjenja.</w:t>
      </w:r>
    </w:p>
    <w:p w14:paraId="602FC55C" w14:textId="12C8EC98" w:rsidR="00606EB2" w:rsidRPr="005865B6" w:rsidRDefault="001E4325">
      <w:pPr>
        <w:pStyle w:val="Standard"/>
        <w:jc w:val="both"/>
      </w:pPr>
      <w:r w:rsidRPr="005865B6">
        <w:t xml:space="preserve"> </w:t>
      </w:r>
      <w:r w:rsidR="001436E7" w:rsidRPr="005865B6">
        <w:t>(AOP 17</w:t>
      </w:r>
      <w:r w:rsidR="005D6C24" w:rsidRPr="005865B6">
        <w:t>5</w:t>
      </w:r>
      <w:r w:rsidR="001436E7" w:rsidRPr="005865B6">
        <w:t xml:space="preserve">) rashodi za usluge promidžbe i informiranja izvršeni su u iznosu od </w:t>
      </w:r>
      <w:r w:rsidR="00BD5162" w:rsidRPr="005865B6">
        <w:t>156.604</w:t>
      </w:r>
      <w:r w:rsidR="001436E7" w:rsidRPr="005865B6">
        <w:t xml:space="preserve"> kn ili </w:t>
      </w:r>
      <w:r w:rsidR="002D2BE3" w:rsidRPr="005865B6">
        <w:t>1</w:t>
      </w:r>
      <w:r w:rsidR="00BD5162" w:rsidRPr="005865B6">
        <w:t>57,6</w:t>
      </w:r>
      <w:r w:rsidR="001436E7" w:rsidRPr="005865B6">
        <w:t xml:space="preserve"> % u odnosu na ostvarenje prethodne godine.</w:t>
      </w:r>
    </w:p>
    <w:p w14:paraId="23B347BF" w14:textId="44CA89CA" w:rsidR="00276E56" w:rsidRPr="005865B6" w:rsidRDefault="009C5080">
      <w:pPr>
        <w:pStyle w:val="Standard"/>
        <w:jc w:val="both"/>
      </w:pPr>
      <w:r w:rsidRPr="005865B6">
        <w:t xml:space="preserve">Zbog </w:t>
      </w:r>
      <w:r w:rsidR="00AA30C1" w:rsidRPr="005865B6">
        <w:t>većih</w:t>
      </w:r>
      <w:r w:rsidR="00A9217B" w:rsidRPr="005865B6">
        <w:t xml:space="preserve"> troškova </w:t>
      </w:r>
      <w:r w:rsidR="00360A50" w:rsidRPr="005865B6">
        <w:t xml:space="preserve"> </w:t>
      </w:r>
      <w:r w:rsidR="00507E42" w:rsidRPr="005865B6">
        <w:t xml:space="preserve">za elektronske </w:t>
      </w:r>
      <w:r w:rsidR="00360A50" w:rsidRPr="005865B6">
        <w:t>medij</w:t>
      </w:r>
      <w:r w:rsidR="00507E42" w:rsidRPr="005865B6">
        <w:t>e</w:t>
      </w:r>
      <w:r w:rsidR="00360A50" w:rsidRPr="005865B6">
        <w:t xml:space="preserve"> i </w:t>
      </w:r>
      <w:r w:rsidR="00A9217B" w:rsidRPr="005865B6">
        <w:t>ostalih usluga promidžbe i informiranja</w:t>
      </w:r>
      <w:r w:rsidRPr="005865B6">
        <w:t xml:space="preserve"> došlo je do iskazanog </w:t>
      </w:r>
      <w:r w:rsidR="00AA30C1" w:rsidRPr="005865B6">
        <w:t>povećanja.</w:t>
      </w:r>
    </w:p>
    <w:p w14:paraId="2914EE30" w14:textId="59F60D14" w:rsidR="002E5EA6" w:rsidRPr="005865B6" w:rsidRDefault="002E5EA6">
      <w:pPr>
        <w:pStyle w:val="Standard"/>
        <w:jc w:val="both"/>
      </w:pPr>
      <w:r w:rsidRPr="005865B6">
        <w:t xml:space="preserve">(AOP 176) rashodi za komunalne usluge izvršeni su u iznosu od </w:t>
      </w:r>
      <w:r w:rsidR="000D1896" w:rsidRPr="005865B6">
        <w:t>46.070</w:t>
      </w:r>
      <w:r w:rsidRPr="005865B6">
        <w:t xml:space="preserve"> kn ili </w:t>
      </w:r>
      <w:r w:rsidR="00502B80" w:rsidRPr="005865B6">
        <w:t>7</w:t>
      </w:r>
      <w:r w:rsidR="000D1896" w:rsidRPr="005865B6">
        <w:t>4,9</w:t>
      </w:r>
      <w:r w:rsidRPr="005865B6">
        <w:t xml:space="preserve"> % u odnosu na ostvarenje prethodne godine.</w:t>
      </w:r>
    </w:p>
    <w:p w14:paraId="5B74E04F" w14:textId="1C0FB624" w:rsidR="00B74668" w:rsidRPr="005865B6" w:rsidRDefault="00B74668">
      <w:pPr>
        <w:pStyle w:val="Standard"/>
        <w:jc w:val="both"/>
      </w:pPr>
      <w:r w:rsidRPr="005865B6">
        <w:t>U izvještajnom razdoblju prošle godine nastali su veći troškovi radi uklanjanja nepropisno odbačenog otpada i ostalih komunalnih usluga.</w:t>
      </w:r>
    </w:p>
    <w:p w14:paraId="7A566325" w14:textId="6F21CBA2" w:rsidR="00B43B09" w:rsidRPr="005865B6" w:rsidRDefault="00B43B09">
      <w:pPr>
        <w:pStyle w:val="Standard"/>
        <w:jc w:val="both"/>
      </w:pPr>
      <w:r w:rsidRPr="005865B6">
        <w:t xml:space="preserve">(AOP 177) rashodi za zakupnine i najamnine izvršeni su u iznosu od </w:t>
      </w:r>
      <w:r w:rsidR="00A66BC4" w:rsidRPr="005865B6">
        <w:t>8.786</w:t>
      </w:r>
      <w:r w:rsidRPr="005865B6">
        <w:t xml:space="preserve"> kn ili </w:t>
      </w:r>
      <w:r w:rsidR="000A3513" w:rsidRPr="005865B6">
        <w:t>9</w:t>
      </w:r>
      <w:r w:rsidR="00A66BC4" w:rsidRPr="005865B6">
        <w:t>6</w:t>
      </w:r>
      <w:r w:rsidR="0057233F" w:rsidRPr="005865B6">
        <w:t>,</w:t>
      </w:r>
      <w:r w:rsidR="00A66BC4" w:rsidRPr="005865B6">
        <w:t>4</w:t>
      </w:r>
      <w:r w:rsidR="000A3513" w:rsidRPr="005865B6">
        <w:t xml:space="preserve"> </w:t>
      </w:r>
      <w:r w:rsidRPr="005865B6">
        <w:t>% u odnosu na ostvarenje prethodne godine.</w:t>
      </w:r>
    </w:p>
    <w:p w14:paraId="0D65C6D6" w14:textId="244EDD6A" w:rsidR="00771D60" w:rsidRPr="005865B6" w:rsidRDefault="00826144">
      <w:pPr>
        <w:pStyle w:val="Standard"/>
        <w:jc w:val="both"/>
      </w:pPr>
      <w:r w:rsidRPr="005865B6">
        <w:t>Do iskaznog smanjenja u izvještajnom razdoblju došlo je radi  manjih troškova najamnine za opremu.</w:t>
      </w:r>
    </w:p>
    <w:p w14:paraId="2FD41E63" w14:textId="37E59BB3" w:rsidR="00FF7BF3" w:rsidRPr="005865B6" w:rsidRDefault="001436E7">
      <w:pPr>
        <w:pStyle w:val="Standard"/>
        <w:jc w:val="both"/>
      </w:pPr>
      <w:r w:rsidRPr="005865B6">
        <w:t>(AOP 1</w:t>
      </w:r>
      <w:r w:rsidR="00B34ACD" w:rsidRPr="005865B6">
        <w:t>78</w:t>
      </w:r>
      <w:r w:rsidRPr="005865B6">
        <w:t xml:space="preserve">) rashodi za zdravstvene i veterinarske usluge izvršeni su u iznosu od </w:t>
      </w:r>
      <w:r w:rsidR="00F83190" w:rsidRPr="005865B6">
        <w:t>11.308</w:t>
      </w:r>
      <w:r w:rsidRPr="005865B6">
        <w:t xml:space="preserve"> kn ili </w:t>
      </w:r>
      <w:r w:rsidR="00F83190" w:rsidRPr="005865B6">
        <w:t>75,5</w:t>
      </w:r>
      <w:r w:rsidRPr="005865B6">
        <w:t xml:space="preserve"> % u odnosu</w:t>
      </w:r>
      <w:r w:rsidR="009B6A54" w:rsidRPr="005865B6">
        <w:t xml:space="preserve"> na ostvarenje prethodne godine</w:t>
      </w:r>
      <w:r w:rsidR="00FF7BF3" w:rsidRPr="005865B6">
        <w:t>.</w:t>
      </w:r>
    </w:p>
    <w:p w14:paraId="779E980C" w14:textId="6F52D22C" w:rsidR="00F5420F" w:rsidRPr="005865B6" w:rsidRDefault="00E87829">
      <w:pPr>
        <w:pStyle w:val="Standard"/>
        <w:jc w:val="both"/>
      </w:pPr>
      <w:r w:rsidRPr="005865B6">
        <w:t xml:space="preserve">Do smanjenja je došlo  </w:t>
      </w:r>
      <w:r w:rsidR="00F52061" w:rsidRPr="005865B6">
        <w:t>jer je u izvještajnom razdoblju ove godine bilo manje troškova vezano za zbrinjavanje napuštenih životinja.</w:t>
      </w:r>
    </w:p>
    <w:p w14:paraId="1A3C0DA1" w14:textId="7E6F98A7" w:rsidR="00FF7BF3" w:rsidRPr="005865B6" w:rsidRDefault="001436E7">
      <w:pPr>
        <w:pStyle w:val="Standard"/>
        <w:jc w:val="both"/>
      </w:pPr>
      <w:r w:rsidRPr="005865B6">
        <w:t>(AOP 1</w:t>
      </w:r>
      <w:r w:rsidR="000C26BA" w:rsidRPr="005865B6">
        <w:t>79</w:t>
      </w:r>
      <w:r w:rsidRPr="005865B6">
        <w:t xml:space="preserve">) rashodi za intelektualne i osobne usluge izvršeni su u iznosu od </w:t>
      </w:r>
      <w:r w:rsidR="00C65B32" w:rsidRPr="005865B6">
        <w:t>225.292</w:t>
      </w:r>
      <w:r w:rsidRPr="005865B6">
        <w:t xml:space="preserve"> kn ili </w:t>
      </w:r>
      <w:r w:rsidR="00C65B32" w:rsidRPr="005865B6">
        <w:t>77,9</w:t>
      </w:r>
      <w:r w:rsidRPr="005865B6">
        <w:t xml:space="preserve"> % u odnosu na ostvarenje prethodne godine.</w:t>
      </w:r>
    </w:p>
    <w:p w14:paraId="0CE3AA57" w14:textId="1072232F" w:rsidR="00F46B91" w:rsidRPr="005865B6" w:rsidRDefault="00F80E83">
      <w:pPr>
        <w:pStyle w:val="Standard"/>
        <w:jc w:val="both"/>
      </w:pPr>
      <w:r w:rsidRPr="005865B6">
        <w:t xml:space="preserve">Do </w:t>
      </w:r>
      <w:r w:rsidR="00491377" w:rsidRPr="005865B6">
        <w:t xml:space="preserve">smanjenja </w:t>
      </w:r>
      <w:r w:rsidRPr="005865B6">
        <w:t xml:space="preserve"> je došlo zbog </w:t>
      </w:r>
      <w:r w:rsidR="00491377" w:rsidRPr="005865B6">
        <w:t>smanjenih</w:t>
      </w:r>
      <w:r w:rsidR="00F46B91" w:rsidRPr="005865B6">
        <w:t xml:space="preserve"> rashoda za usluge, prvenstveno za ostale intelektualne usluge</w:t>
      </w:r>
      <w:r w:rsidR="009A780A" w:rsidRPr="005865B6">
        <w:t>.</w:t>
      </w:r>
    </w:p>
    <w:p w14:paraId="32DCF03F" w14:textId="580E3029" w:rsidR="00B43B09" w:rsidRPr="005865B6" w:rsidRDefault="00B43B09">
      <w:pPr>
        <w:pStyle w:val="Standard"/>
        <w:jc w:val="both"/>
      </w:pPr>
      <w:r w:rsidRPr="005865B6">
        <w:t xml:space="preserve">(AOP 180) rashodi za računalne usluge izvršeni su u iznosu </w:t>
      </w:r>
      <w:r w:rsidR="00257EBC" w:rsidRPr="005865B6">
        <w:t>2</w:t>
      </w:r>
      <w:r w:rsidR="00225438" w:rsidRPr="005865B6">
        <w:t>4.957</w:t>
      </w:r>
      <w:r w:rsidR="00F445B5" w:rsidRPr="005865B6">
        <w:t xml:space="preserve"> </w:t>
      </w:r>
      <w:r w:rsidRPr="005865B6">
        <w:t xml:space="preserve"> kn ili </w:t>
      </w:r>
      <w:r w:rsidR="00225438" w:rsidRPr="005865B6">
        <w:t>54,4</w:t>
      </w:r>
      <w:r w:rsidRPr="005865B6">
        <w:t>% u odnosu na ostvarenje prethodne godine.</w:t>
      </w:r>
    </w:p>
    <w:p w14:paraId="7DDCBA62" w14:textId="07035D5C" w:rsidR="00E55CD8" w:rsidRPr="005865B6" w:rsidRDefault="00E55CD8">
      <w:pPr>
        <w:pStyle w:val="Standard"/>
        <w:jc w:val="both"/>
      </w:pPr>
      <w:r w:rsidRPr="005865B6">
        <w:t>Radi manjih rashoda za računalne usluge u izvještajnom razdoblju ove godine bilježi se smanjenje.</w:t>
      </w:r>
    </w:p>
    <w:p w14:paraId="150A7EB6" w14:textId="12335BDD" w:rsidR="00512831" w:rsidRPr="005865B6" w:rsidRDefault="001436E7">
      <w:pPr>
        <w:pStyle w:val="Standard"/>
        <w:jc w:val="both"/>
      </w:pPr>
      <w:r w:rsidRPr="005865B6">
        <w:t>(AOP 18</w:t>
      </w:r>
      <w:r w:rsidR="006F4E83" w:rsidRPr="005865B6">
        <w:t>1</w:t>
      </w:r>
      <w:r w:rsidRPr="005865B6">
        <w:t xml:space="preserve">) rashodi za ostale usluge izvršeni su u iznosu od </w:t>
      </w:r>
      <w:r w:rsidR="0084641A" w:rsidRPr="005865B6">
        <w:t>57.035</w:t>
      </w:r>
      <w:r w:rsidR="006A06DE" w:rsidRPr="005865B6">
        <w:t xml:space="preserve"> kn ili </w:t>
      </w:r>
      <w:r w:rsidR="0084641A" w:rsidRPr="005865B6">
        <w:t>80,2</w:t>
      </w:r>
      <w:r w:rsidRPr="005865B6">
        <w:t xml:space="preserve"> % u odnosu na ostvarenje prethodne godine.</w:t>
      </w:r>
    </w:p>
    <w:p w14:paraId="4EABBAF2" w14:textId="36DE67AD" w:rsidR="00606EB2" w:rsidRPr="005865B6" w:rsidRDefault="004B3AC2">
      <w:pPr>
        <w:pStyle w:val="Standard"/>
        <w:jc w:val="both"/>
      </w:pPr>
      <w:r w:rsidRPr="005865B6">
        <w:t xml:space="preserve">Do iskaznog </w:t>
      </w:r>
      <w:r w:rsidR="00B651FD" w:rsidRPr="005865B6">
        <w:t>smanjenja</w:t>
      </w:r>
      <w:r w:rsidRPr="005865B6">
        <w:t xml:space="preserve"> u </w:t>
      </w:r>
      <w:r w:rsidR="005A07F8" w:rsidRPr="005865B6">
        <w:t>izvještajnom razdoblju</w:t>
      </w:r>
      <w:r w:rsidRPr="005865B6">
        <w:t xml:space="preserve"> došlo</w:t>
      </w:r>
      <w:r w:rsidR="003F2EA0" w:rsidRPr="005865B6">
        <w:t xml:space="preserve"> je</w:t>
      </w:r>
      <w:r w:rsidR="00114A88" w:rsidRPr="005865B6">
        <w:t xml:space="preserve"> radi </w:t>
      </w:r>
      <w:r w:rsidRPr="005865B6">
        <w:t xml:space="preserve"> </w:t>
      </w:r>
      <w:r w:rsidR="00B651FD" w:rsidRPr="005865B6">
        <w:t xml:space="preserve">manjih </w:t>
      </w:r>
      <w:r w:rsidRPr="005865B6">
        <w:t>troškov</w:t>
      </w:r>
      <w:r w:rsidR="00114A88" w:rsidRPr="005865B6">
        <w:t>a ostalih nespomenutih usluga</w:t>
      </w:r>
      <w:r w:rsidR="00B651FD" w:rsidRPr="005865B6">
        <w:t>.</w:t>
      </w:r>
    </w:p>
    <w:p w14:paraId="2D2FC3E9" w14:textId="77777777" w:rsidR="004B3AC2" w:rsidRPr="005865B6" w:rsidRDefault="004B3AC2">
      <w:pPr>
        <w:pStyle w:val="Standard"/>
        <w:jc w:val="both"/>
        <w:rPr>
          <w:rFonts w:ascii="Arial" w:hAnsi="Arial"/>
        </w:rPr>
      </w:pPr>
    </w:p>
    <w:p w14:paraId="44D15CC2" w14:textId="77777777" w:rsidR="008C1795" w:rsidRDefault="008C1795" w:rsidP="00217B5E">
      <w:pPr>
        <w:pStyle w:val="Standard"/>
        <w:jc w:val="both"/>
        <w:rPr>
          <w:b/>
        </w:rPr>
      </w:pPr>
      <w:bookmarkStart w:id="2" w:name="_Hlk32581637"/>
    </w:p>
    <w:p w14:paraId="1C7B8E00" w14:textId="55980A56" w:rsidR="00E0185B" w:rsidRPr="005865B6" w:rsidRDefault="001436E7" w:rsidP="00217B5E">
      <w:pPr>
        <w:pStyle w:val="Standard"/>
        <w:jc w:val="both"/>
        <w:rPr>
          <w:b/>
        </w:rPr>
      </w:pPr>
      <w:r w:rsidRPr="005865B6">
        <w:rPr>
          <w:b/>
        </w:rPr>
        <w:lastRenderedPageBreak/>
        <w:t>Unutar podskupine ostalih nespomenutih rashoda (AOP 18</w:t>
      </w:r>
      <w:r w:rsidR="00D02B02" w:rsidRPr="005865B6">
        <w:rPr>
          <w:b/>
        </w:rPr>
        <w:t>3</w:t>
      </w:r>
      <w:r w:rsidRPr="005865B6">
        <w:rPr>
          <w:b/>
        </w:rPr>
        <w:t>) odstupanje bilježi:</w:t>
      </w:r>
      <w:bookmarkEnd w:id="2"/>
    </w:p>
    <w:p w14:paraId="1B9BC087" w14:textId="271024C3" w:rsidR="00EE1E22" w:rsidRPr="005865B6" w:rsidRDefault="00CF607A" w:rsidP="00217B5E">
      <w:pPr>
        <w:pStyle w:val="Standard"/>
        <w:jc w:val="both"/>
        <w:rPr>
          <w:bCs/>
        </w:rPr>
      </w:pPr>
      <w:r w:rsidRPr="005865B6">
        <w:rPr>
          <w:bCs/>
        </w:rPr>
        <w:t xml:space="preserve">(AOP 184) naknade za rad predstavničkih i izvršnih tijela, povjerenstava i slično izvršene su u iznosu </w:t>
      </w:r>
      <w:r w:rsidR="00954E2F" w:rsidRPr="005865B6">
        <w:rPr>
          <w:bCs/>
        </w:rPr>
        <w:t>24.666</w:t>
      </w:r>
      <w:r w:rsidRPr="005865B6">
        <w:rPr>
          <w:bCs/>
        </w:rPr>
        <w:t xml:space="preserve"> kn ili </w:t>
      </w:r>
      <w:r w:rsidR="00954E2F" w:rsidRPr="005865B6">
        <w:rPr>
          <w:bCs/>
        </w:rPr>
        <w:t>60,6</w:t>
      </w:r>
      <w:r w:rsidR="001E7AE5" w:rsidRPr="005865B6">
        <w:rPr>
          <w:bCs/>
        </w:rPr>
        <w:t xml:space="preserve"> </w:t>
      </w:r>
      <w:r w:rsidR="00CE6AEE" w:rsidRPr="005865B6">
        <w:rPr>
          <w:bCs/>
        </w:rPr>
        <w:t>%</w:t>
      </w:r>
      <w:r w:rsidRPr="005865B6">
        <w:rPr>
          <w:bCs/>
        </w:rPr>
        <w:t>.</w:t>
      </w:r>
    </w:p>
    <w:p w14:paraId="1C6DE057" w14:textId="18A0663B" w:rsidR="00CF607A" w:rsidRPr="005865B6" w:rsidRDefault="00CF607A" w:rsidP="00217B5E">
      <w:pPr>
        <w:pStyle w:val="Standard"/>
        <w:jc w:val="both"/>
        <w:rPr>
          <w:bCs/>
        </w:rPr>
      </w:pPr>
      <w:r w:rsidRPr="005865B6">
        <w:rPr>
          <w:bCs/>
        </w:rPr>
        <w:t>Zbog manje održanih sjednica općinskog vijeća Općine Veliki Bukovec u izvještajnom razdoblju  bilježi se smanjenje isplaćenih naknada.</w:t>
      </w:r>
    </w:p>
    <w:p w14:paraId="4135B483" w14:textId="702C0D8E" w:rsidR="00BA52C7" w:rsidRPr="005865B6" w:rsidRDefault="00BA52C7" w:rsidP="00217B5E">
      <w:pPr>
        <w:pStyle w:val="Standard"/>
        <w:jc w:val="both"/>
        <w:rPr>
          <w:bCs/>
        </w:rPr>
      </w:pPr>
      <w:r w:rsidRPr="005865B6">
        <w:rPr>
          <w:bCs/>
        </w:rPr>
        <w:t>(AOP 18</w:t>
      </w:r>
      <w:r w:rsidR="00D02B02" w:rsidRPr="005865B6">
        <w:rPr>
          <w:bCs/>
        </w:rPr>
        <w:t>6</w:t>
      </w:r>
      <w:r w:rsidRPr="005865B6">
        <w:rPr>
          <w:bCs/>
        </w:rPr>
        <w:t xml:space="preserve">) rashodi za reprezentaciju izvršeni su u iznosu od </w:t>
      </w:r>
      <w:r w:rsidR="00954E2F" w:rsidRPr="005865B6">
        <w:rPr>
          <w:bCs/>
        </w:rPr>
        <w:t>54.287</w:t>
      </w:r>
      <w:r w:rsidR="00CF607A" w:rsidRPr="005865B6">
        <w:rPr>
          <w:bCs/>
        </w:rPr>
        <w:t xml:space="preserve"> </w:t>
      </w:r>
      <w:r w:rsidRPr="005865B6">
        <w:rPr>
          <w:bCs/>
        </w:rPr>
        <w:t>kn</w:t>
      </w:r>
      <w:r w:rsidR="00954E2F" w:rsidRPr="005865B6">
        <w:rPr>
          <w:bCs/>
        </w:rPr>
        <w:t xml:space="preserve"> ili 796,9 % u odnosu na ostvarenje prethodne godine.</w:t>
      </w:r>
    </w:p>
    <w:p w14:paraId="28099C6C" w14:textId="6327B54E" w:rsidR="00606EB2" w:rsidRPr="005865B6" w:rsidRDefault="001436E7">
      <w:pPr>
        <w:pStyle w:val="Standard"/>
        <w:jc w:val="both"/>
      </w:pPr>
      <w:r w:rsidRPr="005865B6">
        <w:rPr>
          <w:bCs/>
        </w:rPr>
        <w:t>(AOP 18</w:t>
      </w:r>
      <w:r w:rsidR="00D02B02" w:rsidRPr="005865B6">
        <w:rPr>
          <w:bCs/>
        </w:rPr>
        <w:t>7</w:t>
      </w:r>
      <w:r w:rsidRPr="005865B6">
        <w:rPr>
          <w:bCs/>
        </w:rPr>
        <w:t>) rashodi</w:t>
      </w:r>
      <w:r w:rsidRPr="005865B6">
        <w:t xml:space="preserve"> za članarine i</w:t>
      </w:r>
      <w:r w:rsidR="00142425" w:rsidRPr="005865B6">
        <w:t xml:space="preserve"> norme izvršeni su u iznosu od </w:t>
      </w:r>
      <w:r w:rsidR="00F76B06" w:rsidRPr="005865B6">
        <w:t>43.037</w:t>
      </w:r>
      <w:r w:rsidR="00CF607A" w:rsidRPr="005865B6">
        <w:t xml:space="preserve"> </w:t>
      </w:r>
      <w:r w:rsidRPr="005865B6">
        <w:t xml:space="preserve">kn ili </w:t>
      </w:r>
      <w:r w:rsidR="00D76392" w:rsidRPr="005865B6">
        <w:t>9</w:t>
      </w:r>
      <w:r w:rsidR="00F76B06" w:rsidRPr="005865B6">
        <w:t>2,3</w:t>
      </w:r>
      <w:r w:rsidRPr="005865B6">
        <w:t xml:space="preserve"> % u odnosu ostvarenje prethodne godine.</w:t>
      </w:r>
    </w:p>
    <w:p w14:paraId="2B931AA6" w14:textId="0FEFC66F" w:rsidR="00662FC1" w:rsidRPr="005865B6" w:rsidRDefault="00662FC1">
      <w:pPr>
        <w:pStyle w:val="Standard"/>
        <w:jc w:val="both"/>
      </w:pPr>
      <w:r w:rsidRPr="005865B6">
        <w:t>(AOP 1</w:t>
      </w:r>
      <w:r w:rsidR="00D02B02" w:rsidRPr="005865B6">
        <w:t>88</w:t>
      </w:r>
      <w:r w:rsidR="00911EE2" w:rsidRPr="005865B6">
        <w:t xml:space="preserve">) </w:t>
      </w:r>
      <w:r w:rsidR="00D02B02" w:rsidRPr="005865B6">
        <w:t xml:space="preserve">rashodi za pristojbe i naknade </w:t>
      </w:r>
      <w:r w:rsidR="00911EE2" w:rsidRPr="005865B6">
        <w:t xml:space="preserve">izvršeni su u iznosu od </w:t>
      </w:r>
      <w:r w:rsidR="00C91D35" w:rsidRPr="005865B6">
        <w:t>1.510</w:t>
      </w:r>
      <w:r w:rsidR="00CF607A" w:rsidRPr="005865B6">
        <w:t xml:space="preserve"> kn ili </w:t>
      </w:r>
      <w:r w:rsidR="00C91D35" w:rsidRPr="005865B6">
        <w:t>30,9</w:t>
      </w:r>
      <w:r w:rsidR="00CF607A" w:rsidRPr="005865B6">
        <w:t xml:space="preserve"> % u odnosu na ostvarenje prethodne godine.</w:t>
      </w:r>
    </w:p>
    <w:p w14:paraId="49F71573" w14:textId="5FB1E3C9" w:rsidR="007E7D9E" w:rsidRPr="005865B6" w:rsidRDefault="003F2EA0">
      <w:pPr>
        <w:pStyle w:val="Standard"/>
        <w:jc w:val="both"/>
      </w:pPr>
      <w:r w:rsidRPr="005865B6">
        <w:t>Do iskaznog smanjenja u izvještajnom razdoblju  došlo je radi manjih troškova za pristojbe.</w:t>
      </w:r>
    </w:p>
    <w:p w14:paraId="45722F97" w14:textId="4E25C097" w:rsidR="00217B5E" w:rsidRPr="005865B6" w:rsidRDefault="00B8231E">
      <w:pPr>
        <w:pStyle w:val="Standard"/>
        <w:jc w:val="both"/>
      </w:pPr>
      <w:r w:rsidRPr="005865B6">
        <w:t xml:space="preserve">(AOP 190) ostali nespomenuti rashodi poslovanja izvršeni su u iznosu od </w:t>
      </w:r>
      <w:r w:rsidR="00D76392" w:rsidRPr="005865B6">
        <w:t>1</w:t>
      </w:r>
      <w:r w:rsidR="00C91D35" w:rsidRPr="005865B6">
        <w:t>12.252</w:t>
      </w:r>
      <w:r w:rsidRPr="005865B6">
        <w:t xml:space="preserve"> kn ili </w:t>
      </w:r>
      <w:r w:rsidR="00C91D35" w:rsidRPr="005865B6">
        <w:t>1.178,9</w:t>
      </w:r>
      <w:r w:rsidRPr="005865B6">
        <w:t xml:space="preserve"> % u odnosu na ostvarenje prethodne godine.</w:t>
      </w:r>
    </w:p>
    <w:p w14:paraId="1D6368FB" w14:textId="242A4D7B" w:rsidR="00B8231E" w:rsidRPr="005865B6" w:rsidRDefault="00E95DBA">
      <w:pPr>
        <w:pStyle w:val="Standard"/>
        <w:jc w:val="both"/>
      </w:pPr>
      <w:r w:rsidRPr="005865B6">
        <w:t>Značajnije povećanje rashoda odnosi se na rashode</w:t>
      </w:r>
      <w:r w:rsidR="00D76392" w:rsidRPr="005865B6">
        <w:t xml:space="preserve"> održavanja</w:t>
      </w:r>
      <w:r w:rsidRPr="005865B6">
        <w:t xml:space="preserve"> redovnih lokalnih izbora.</w:t>
      </w:r>
    </w:p>
    <w:p w14:paraId="6F5AD4B6" w14:textId="77777777" w:rsidR="008C1795" w:rsidRDefault="008C1795">
      <w:pPr>
        <w:pStyle w:val="Standard"/>
        <w:ind w:left="540" w:hanging="540"/>
        <w:jc w:val="both"/>
        <w:rPr>
          <w:b/>
          <w:bCs/>
          <w:sz w:val="26"/>
          <w:szCs w:val="26"/>
        </w:rPr>
      </w:pPr>
    </w:p>
    <w:p w14:paraId="4898932A" w14:textId="2A328667" w:rsidR="00606EB2" w:rsidRPr="005865B6" w:rsidRDefault="001436E7">
      <w:pPr>
        <w:pStyle w:val="Standard"/>
        <w:ind w:left="540" w:hanging="540"/>
        <w:jc w:val="both"/>
        <w:rPr>
          <w:b/>
          <w:bCs/>
          <w:sz w:val="26"/>
          <w:szCs w:val="26"/>
        </w:rPr>
      </w:pPr>
      <w:r w:rsidRPr="005865B6">
        <w:rPr>
          <w:b/>
          <w:bCs/>
          <w:sz w:val="26"/>
          <w:szCs w:val="26"/>
        </w:rPr>
        <w:t>AOP 19</w:t>
      </w:r>
      <w:r w:rsidR="00D47782" w:rsidRPr="005865B6">
        <w:rPr>
          <w:b/>
          <w:bCs/>
          <w:sz w:val="26"/>
          <w:szCs w:val="26"/>
        </w:rPr>
        <w:t>1</w:t>
      </w:r>
      <w:r w:rsidRPr="005865B6">
        <w:rPr>
          <w:b/>
          <w:bCs/>
          <w:sz w:val="26"/>
          <w:szCs w:val="26"/>
        </w:rPr>
        <w:t xml:space="preserve">  Financijski rashodi</w:t>
      </w:r>
    </w:p>
    <w:p w14:paraId="20528DE6" w14:textId="77777777" w:rsidR="00606EB2" w:rsidRPr="005865B6" w:rsidRDefault="00606EB2" w:rsidP="008C1795">
      <w:pPr>
        <w:pStyle w:val="Standard"/>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5865B6" w14:paraId="40CAEEF7"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1A69A7"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3EEE2" w14:textId="77777777" w:rsidR="00606EB2" w:rsidRPr="005865B6" w:rsidRDefault="001436E7">
            <w:pPr>
              <w:pStyle w:val="TableContents"/>
              <w:jc w:val="center"/>
            </w:pPr>
            <w:r w:rsidRPr="005865B6">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004F4" w14:textId="77777777" w:rsidR="00606EB2" w:rsidRPr="005865B6" w:rsidRDefault="001436E7">
            <w:pPr>
              <w:pStyle w:val="TableContents"/>
              <w:jc w:val="center"/>
            </w:pPr>
            <w:r w:rsidRPr="005865B6">
              <w:t>Indeks</w:t>
            </w:r>
          </w:p>
        </w:tc>
      </w:tr>
      <w:tr w:rsidR="00606EB2" w:rsidRPr="005865B6" w14:paraId="6114B18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3E60E8" w14:textId="4900AD57" w:rsidR="00606EB2" w:rsidRPr="005865B6" w:rsidRDefault="00C91D35" w:rsidP="00B469ED">
            <w:pPr>
              <w:pStyle w:val="TableContents"/>
              <w:jc w:val="center"/>
            </w:pPr>
            <w:r w:rsidRPr="005865B6">
              <w:t>8.669</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81882B1" w14:textId="55D9CD90" w:rsidR="00606EB2" w:rsidRPr="005865B6" w:rsidRDefault="00C91D35">
            <w:pPr>
              <w:pStyle w:val="TableContents"/>
              <w:jc w:val="center"/>
            </w:pPr>
            <w:r w:rsidRPr="005865B6">
              <w:t>20.244</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A950B" w14:textId="7E5D1B5F" w:rsidR="00606EB2" w:rsidRPr="005865B6" w:rsidRDefault="00B27E40">
            <w:pPr>
              <w:pStyle w:val="TableContents"/>
              <w:jc w:val="center"/>
            </w:pPr>
            <w:r w:rsidRPr="005865B6">
              <w:t>2</w:t>
            </w:r>
            <w:r w:rsidR="00C91D35" w:rsidRPr="005865B6">
              <w:t>33,5</w:t>
            </w:r>
          </w:p>
        </w:tc>
      </w:tr>
    </w:tbl>
    <w:p w14:paraId="71EC0692" w14:textId="77777777" w:rsidR="00606EB2" w:rsidRPr="005865B6" w:rsidRDefault="00606EB2" w:rsidP="00B567EB">
      <w:pPr>
        <w:pStyle w:val="Standard"/>
        <w:jc w:val="both"/>
        <w:rPr>
          <w:rFonts w:ascii="Arial" w:hAnsi="Arial"/>
        </w:rPr>
      </w:pPr>
    </w:p>
    <w:p w14:paraId="06C51085" w14:textId="40A093F9" w:rsidR="00B567EB" w:rsidRPr="005865B6" w:rsidRDefault="00D905C8" w:rsidP="000F64F1">
      <w:pPr>
        <w:pStyle w:val="Standard"/>
        <w:jc w:val="both"/>
        <w:rPr>
          <w:b/>
          <w:bCs/>
        </w:rPr>
      </w:pPr>
      <w:r w:rsidRPr="005865B6">
        <w:rPr>
          <w:b/>
          <w:bCs/>
        </w:rPr>
        <w:t xml:space="preserve">Unutar podskupine rashoda za kamate za primljene kredite i zajmove (AOP 197) odstupanje bilježi: </w:t>
      </w:r>
    </w:p>
    <w:p w14:paraId="349DC8BA" w14:textId="0A9F4C45" w:rsidR="008C1795" w:rsidRPr="005865B6" w:rsidRDefault="00D905C8" w:rsidP="000F64F1">
      <w:pPr>
        <w:pStyle w:val="Standard"/>
        <w:jc w:val="both"/>
      </w:pPr>
      <w:r w:rsidRPr="005865B6">
        <w:t xml:space="preserve">(AOP 200) rashodi za kamate za primljene kredite i zajmove od kreditnih i ostalih financijskih institucija  izvan javnog sektora izvršeni su u iznosu </w:t>
      </w:r>
      <w:r w:rsidR="00CD509C" w:rsidRPr="005865B6">
        <w:t>12.676</w:t>
      </w:r>
      <w:r w:rsidR="00B27E40" w:rsidRPr="005865B6">
        <w:t xml:space="preserve"> </w:t>
      </w:r>
      <w:r w:rsidRPr="005865B6">
        <w:t>kn</w:t>
      </w:r>
      <w:r w:rsidR="00CD509C" w:rsidRPr="005865B6">
        <w:t xml:space="preserve"> ili 4.183,5 % u odnosu na ostvarenje prethodne godine</w:t>
      </w:r>
      <w:r w:rsidR="00E11071" w:rsidRPr="005865B6">
        <w:t xml:space="preserve"> zbog obračuna redov</w:t>
      </w:r>
      <w:r w:rsidR="00EC5D14" w:rsidRPr="005865B6">
        <w:t>n</w:t>
      </w:r>
      <w:r w:rsidR="00E11071" w:rsidRPr="005865B6">
        <w:t>e kamate po kreditu.</w:t>
      </w:r>
    </w:p>
    <w:p w14:paraId="3E7F5C07" w14:textId="56C899E8" w:rsidR="00D905C8" w:rsidRPr="005865B6" w:rsidRDefault="00D905C8" w:rsidP="000F64F1">
      <w:pPr>
        <w:pStyle w:val="Standard"/>
        <w:jc w:val="both"/>
        <w:rPr>
          <w:b/>
          <w:bCs/>
        </w:rPr>
      </w:pPr>
      <w:r w:rsidRPr="005865B6">
        <w:rPr>
          <w:b/>
          <w:bCs/>
        </w:rPr>
        <w:t>Unutar podskupine ostalih financijskih rashoda (AOP 205) odstupanje bilježi:</w:t>
      </w:r>
    </w:p>
    <w:p w14:paraId="69BB0C9B" w14:textId="05EB2D39" w:rsidR="004414B0" w:rsidRPr="008C1795" w:rsidRDefault="00D905C8" w:rsidP="009E358B">
      <w:pPr>
        <w:pStyle w:val="Standard"/>
        <w:jc w:val="both"/>
      </w:pPr>
      <w:r w:rsidRPr="005865B6">
        <w:t xml:space="preserve">(AOP 206) rashodi za bankarske usluge i usluge platnog prometa izvršeni su u iznosu od </w:t>
      </w:r>
      <w:r w:rsidR="00FD3DDF" w:rsidRPr="005865B6">
        <w:t xml:space="preserve">7.564 </w:t>
      </w:r>
      <w:r w:rsidR="002238D7" w:rsidRPr="005865B6">
        <w:t xml:space="preserve">kn ili </w:t>
      </w:r>
      <w:r w:rsidR="00FD3DDF" w:rsidRPr="005865B6">
        <w:t>98,3</w:t>
      </w:r>
      <w:r w:rsidR="002238D7" w:rsidRPr="005865B6">
        <w:t xml:space="preserve"> %.</w:t>
      </w:r>
    </w:p>
    <w:p w14:paraId="071C124A" w14:textId="77777777" w:rsidR="008C1795" w:rsidRDefault="008C1795" w:rsidP="004414B0">
      <w:pPr>
        <w:pStyle w:val="Standard"/>
        <w:ind w:left="540" w:hanging="540"/>
        <w:jc w:val="both"/>
        <w:rPr>
          <w:b/>
          <w:bCs/>
          <w:sz w:val="26"/>
          <w:szCs w:val="26"/>
        </w:rPr>
      </w:pPr>
    </w:p>
    <w:p w14:paraId="2AE1107E" w14:textId="1C3DBA2D" w:rsidR="004414B0" w:rsidRPr="005865B6" w:rsidRDefault="004414B0" w:rsidP="004414B0">
      <w:pPr>
        <w:pStyle w:val="Standard"/>
        <w:ind w:left="540" w:hanging="540"/>
        <w:jc w:val="both"/>
        <w:rPr>
          <w:b/>
          <w:bCs/>
          <w:sz w:val="26"/>
          <w:szCs w:val="26"/>
        </w:rPr>
      </w:pPr>
      <w:r w:rsidRPr="005865B6">
        <w:rPr>
          <w:b/>
          <w:bCs/>
          <w:sz w:val="26"/>
          <w:szCs w:val="26"/>
        </w:rPr>
        <w:t>AOP 210  Subvencije</w:t>
      </w:r>
    </w:p>
    <w:p w14:paraId="0016438A" w14:textId="77777777" w:rsidR="004414B0" w:rsidRPr="005865B6" w:rsidRDefault="004414B0" w:rsidP="004414B0">
      <w:pPr>
        <w:pStyle w:val="Standard"/>
        <w:ind w:left="540" w:hanging="540"/>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4414B0" w:rsidRPr="005865B6" w14:paraId="0892AB67" w14:textId="77777777" w:rsidTr="009B77E2">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427EF4" w14:textId="77777777" w:rsidR="004414B0" w:rsidRPr="005865B6" w:rsidRDefault="004414B0" w:rsidP="009B77E2">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0D0D90" w14:textId="77777777" w:rsidR="004414B0" w:rsidRPr="005865B6" w:rsidRDefault="004414B0" w:rsidP="009B77E2">
            <w:pPr>
              <w:pStyle w:val="TableContents"/>
              <w:jc w:val="center"/>
            </w:pPr>
            <w:r w:rsidRPr="005865B6">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E2C9F" w14:textId="77777777" w:rsidR="004414B0" w:rsidRPr="005865B6" w:rsidRDefault="004414B0" w:rsidP="009B77E2">
            <w:pPr>
              <w:pStyle w:val="TableContents"/>
              <w:jc w:val="center"/>
            </w:pPr>
            <w:r w:rsidRPr="005865B6">
              <w:t>Indeks</w:t>
            </w:r>
          </w:p>
        </w:tc>
      </w:tr>
      <w:tr w:rsidR="004414B0" w:rsidRPr="005865B6" w14:paraId="31A4CC27" w14:textId="77777777" w:rsidTr="009B77E2">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DC64783" w14:textId="6E8C2908" w:rsidR="004414B0" w:rsidRPr="005865B6" w:rsidRDefault="00FD3DDF" w:rsidP="009B77E2">
            <w:pPr>
              <w:pStyle w:val="TableContents"/>
              <w:jc w:val="center"/>
            </w:pPr>
            <w:r w:rsidRPr="005865B6">
              <w:t>67.387</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3AB2562A" w14:textId="4C6AAD7D" w:rsidR="004414B0" w:rsidRPr="005865B6" w:rsidRDefault="00FD3DDF" w:rsidP="009B77E2">
            <w:pPr>
              <w:pStyle w:val="TableContents"/>
              <w:jc w:val="center"/>
            </w:pPr>
            <w:r w:rsidRPr="005865B6">
              <w:t>67.778</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0608C" w14:textId="7B870F24" w:rsidR="004414B0" w:rsidRPr="005865B6" w:rsidRDefault="001F7CB1" w:rsidP="009B77E2">
            <w:pPr>
              <w:pStyle w:val="TableContents"/>
              <w:jc w:val="center"/>
            </w:pPr>
            <w:r w:rsidRPr="005865B6">
              <w:t>100,</w:t>
            </w:r>
            <w:r w:rsidR="00FD3DDF" w:rsidRPr="005865B6">
              <w:t>6</w:t>
            </w:r>
          </w:p>
        </w:tc>
      </w:tr>
    </w:tbl>
    <w:p w14:paraId="1A38C039" w14:textId="57B8C58A" w:rsidR="004414B0" w:rsidRPr="005865B6" w:rsidRDefault="004414B0" w:rsidP="004414B0">
      <w:pPr>
        <w:pStyle w:val="Standard"/>
        <w:jc w:val="both"/>
        <w:rPr>
          <w:rFonts w:ascii="Arial" w:hAnsi="Arial"/>
        </w:rPr>
      </w:pPr>
    </w:p>
    <w:p w14:paraId="289384EC" w14:textId="77777777" w:rsidR="00C64D78" w:rsidRPr="005865B6" w:rsidRDefault="00A90A9C" w:rsidP="00C64D78">
      <w:pPr>
        <w:pStyle w:val="Standard"/>
        <w:ind w:left="540" w:hanging="540"/>
        <w:jc w:val="both"/>
      </w:pPr>
      <w:r w:rsidRPr="005865B6">
        <w:t xml:space="preserve">(AOP 211) </w:t>
      </w:r>
      <w:r w:rsidR="00C64D78" w:rsidRPr="005865B6">
        <w:t xml:space="preserve"> rashodi za s</w:t>
      </w:r>
      <w:r w:rsidRPr="005865B6">
        <w:t>ubvencije trgovačkim društvima u javnom sektoru</w:t>
      </w:r>
      <w:r w:rsidR="00C64D78" w:rsidRPr="005865B6">
        <w:t xml:space="preserve"> izvršeni su u iznosu </w:t>
      </w:r>
    </w:p>
    <w:p w14:paraId="62C9E8DF" w14:textId="25699795" w:rsidR="004414B0" w:rsidRPr="005865B6" w:rsidRDefault="00A07699" w:rsidP="00C64D78">
      <w:pPr>
        <w:pStyle w:val="Standard"/>
        <w:ind w:left="540" w:hanging="540"/>
        <w:jc w:val="both"/>
      </w:pPr>
      <w:r w:rsidRPr="005865B6">
        <w:t>27.678</w:t>
      </w:r>
      <w:r w:rsidR="000A4800" w:rsidRPr="005865B6">
        <w:t xml:space="preserve"> </w:t>
      </w:r>
      <w:r w:rsidR="00C64D78" w:rsidRPr="005865B6">
        <w:t>kn</w:t>
      </w:r>
      <w:r w:rsidRPr="005865B6">
        <w:t xml:space="preserve"> ili 134,2 %</w:t>
      </w:r>
      <w:r w:rsidR="00B26A1F" w:rsidRPr="005865B6">
        <w:t xml:space="preserve"> a odnose se na rashode za rad mobilnog </w:t>
      </w:r>
      <w:proofErr w:type="spellStart"/>
      <w:r w:rsidR="00B26A1F" w:rsidRPr="005865B6">
        <w:t>reciklažnog</w:t>
      </w:r>
      <w:proofErr w:type="spellEnd"/>
      <w:r w:rsidR="00B26A1F" w:rsidRPr="005865B6">
        <w:t xml:space="preserve"> dvorišta.</w:t>
      </w:r>
    </w:p>
    <w:p w14:paraId="05B176D6" w14:textId="0428A82B" w:rsidR="000A4800" w:rsidRPr="005865B6" w:rsidRDefault="000A4800" w:rsidP="00C64D78">
      <w:pPr>
        <w:pStyle w:val="Standard"/>
        <w:ind w:left="540" w:hanging="540"/>
        <w:jc w:val="both"/>
      </w:pPr>
    </w:p>
    <w:p w14:paraId="42D1E400" w14:textId="77777777" w:rsidR="00007C45" w:rsidRPr="005865B6" w:rsidRDefault="000A4800" w:rsidP="00515AB5">
      <w:pPr>
        <w:pStyle w:val="Standard"/>
        <w:ind w:left="540" w:hanging="540"/>
        <w:jc w:val="both"/>
        <w:rPr>
          <w:b/>
          <w:bCs/>
        </w:rPr>
      </w:pPr>
      <w:r w:rsidRPr="005865B6">
        <w:rPr>
          <w:b/>
          <w:bCs/>
        </w:rPr>
        <w:t xml:space="preserve">Unutar podskupine rashoda za subvencije trgovačkim društvima, zadrugama, </w:t>
      </w:r>
    </w:p>
    <w:p w14:paraId="26C8247B" w14:textId="1643D1BC" w:rsidR="000A4800" w:rsidRPr="005865B6" w:rsidRDefault="000A4800" w:rsidP="00515AB5">
      <w:pPr>
        <w:pStyle w:val="Standard"/>
        <w:ind w:left="540" w:hanging="540"/>
        <w:jc w:val="both"/>
        <w:rPr>
          <w:b/>
          <w:bCs/>
        </w:rPr>
      </w:pPr>
      <w:r w:rsidRPr="005865B6">
        <w:rPr>
          <w:b/>
          <w:bCs/>
        </w:rPr>
        <w:t xml:space="preserve">poljoprivrednicima i obrtnicima izvan javnog sektora </w:t>
      </w:r>
      <w:r w:rsidR="00007C45" w:rsidRPr="005865B6">
        <w:rPr>
          <w:b/>
          <w:bCs/>
        </w:rPr>
        <w:t xml:space="preserve">(AOP 214) odstupanje bilježi: </w:t>
      </w:r>
    </w:p>
    <w:p w14:paraId="7F276261" w14:textId="77777777" w:rsidR="002F5394" w:rsidRPr="005865B6" w:rsidRDefault="00C64D78" w:rsidP="00515AB5">
      <w:pPr>
        <w:pStyle w:val="Standard"/>
        <w:ind w:left="540" w:hanging="540"/>
      </w:pPr>
      <w:r w:rsidRPr="005865B6">
        <w:t>(AOP 21</w:t>
      </w:r>
      <w:r w:rsidR="00007C45" w:rsidRPr="005865B6">
        <w:t>7</w:t>
      </w:r>
      <w:r w:rsidRPr="005865B6">
        <w:t xml:space="preserve">) rashodi za subvencije </w:t>
      </w:r>
      <w:r w:rsidR="00007C45" w:rsidRPr="005865B6">
        <w:t xml:space="preserve">poljoprivrednicima i obrtnicima izvršeni su u iznosu od </w:t>
      </w:r>
    </w:p>
    <w:p w14:paraId="73B03047" w14:textId="23B06731" w:rsidR="004414B0" w:rsidRPr="005865B6" w:rsidRDefault="00515AB5" w:rsidP="00515AB5">
      <w:pPr>
        <w:pStyle w:val="Standard"/>
        <w:ind w:left="540" w:hanging="540"/>
      </w:pPr>
      <w:r w:rsidRPr="005865B6">
        <w:t>40.100</w:t>
      </w:r>
      <w:r w:rsidR="002F5394" w:rsidRPr="005865B6">
        <w:t xml:space="preserve"> kn ili </w:t>
      </w:r>
      <w:r w:rsidRPr="005865B6">
        <w:t>85,8</w:t>
      </w:r>
      <w:r w:rsidR="002F5394" w:rsidRPr="005865B6">
        <w:t xml:space="preserve"> %.</w:t>
      </w:r>
    </w:p>
    <w:p w14:paraId="4D8C8A6C" w14:textId="77777777" w:rsidR="0056203D" w:rsidRPr="005865B6" w:rsidRDefault="0056203D" w:rsidP="00515AB5">
      <w:pPr>
        <w:pStyle w:val="Standard"/>
        <w:ind w:left="540" w:hanging="540"/>
      </w:pPr>
      <w:r w:rsidRPr="005865B6">
        <w:t>Do smanjenja u izvještajnom razdoblju je došlo iz razloga jer su u  izvještajnom razdoblju</w:t>
      </w:r>
    </w:p>
    <w:p w14:paraId="3A2A2855" w14:textId="41B59CA3" w:rsidR="0056203D" w:rsidRPr="005865B6" w:rsidRDefault="0056203D" w:rsidP="00515AB5">
      <w:pPr>
        <w:pStyle w:val="Standard"/>
        <w:ind w:left="540" w:hanging="540"/>
      </w:pPr>
      <w:r w:rsidRPr="005865B6">
        <w:t>prošle godine nastali troškovi za dopunsku i osnovnu izobrazbu o održivoj upotrebi pesticida</w:t>
      </w:r>
    </w:p>
    <w:p w14:paraId="6E00EFA5" w14:textId="2CA11187" w:rsidR="00007C45" w:rsidRPr="005865B6" w:rsidRDefault="0056203D" w:rsidP="00515AB5">
      <w:pPr>
        <w:pStyle w:val="Standard"/>
        <w:ind w:left="540" w:hanging="540"/>
      </w:pPr>
      <w:r w:rsidRPr="005865B6">
        <w:t>za korisnike s područja Općine Veliki Bukovec.</w:t>
      </w:r>
    </w:p>
    <w:p w14:paraId="6CAF2E5E" w14:textId="77777777" w:rsidR="00007C45" w:rsidRPr="005865B6" w:rsidRDefault="00007C45" w:rsidP="00515AB5">
      <w:pPr>
        <w:pStyle w:val="Standard"/>
        <w:ind w:left="540" w:hanging="540"/>
        <w:jc w:val="both"/>
        <w:rPr>
          <w:b/>
          <w:bCs/>
          <w:sz w:val="26"/>
          <w:szCs w:val="26"/>
        </w:rPr>
      </w:pPr>
    </w:p>
    <w:p w14:paraId="1C1A4B43" w14:textId="082820F2" w:rsidR="00606EB2" w:rsidRPr="005865B6" w:rsidRDefault="001436E7">
      <w:pPr>
        <w:pStyle w:val="Standard"/>
        <w:ind w:left="540" w:hanging="540"/>
        <w:jc w:val="both"/>
        <w:rPr>
          <w:b/>
          <w:bCs/>
          <w:sz w:val="26"/>
          <w:szCs w:val="26"/>
        </w:rPr>
      </w:pPr>
      <w:r w:rsidRPr="005865B6">
        <w:rPr>
          <w:b/>
          <w:bCs/>
          <w:sz w:val="26"/>
          <w:szCs w:val="26"/>
        </w:rPr>
        <w:t>AOP 2</w:t>
      </w:r>
      <w:r w:rsidR="00AB0F49" w:rsidRPr="005865B6">
        <w:rPr>
          <w:b/>
          <w:bCs/>
          <w:sz w:val="26"/>
          <w:szCs w:val="26"/>
        </w:rPr>
        <w:t>19</w:t>
      </w:r>
      <w:r w:rsidRPr="005865B6">
        <w:rPr>
          <w:b/>
          <w:bCs/>
          <w:sz w:val="26"/>
          <w:szCs w:val="26"/>
        </w:rPr>
        <w:t xml:space="preserve"> Pomoći dan</w:t>
      </w:r>
      <w:r w:rsidR="00D1381F" w:rsidRPr="005865B6">
        <w:rPr>
          <w:b/>
          <w:bCs/>
          <w:sz w:val="26"/>
          <w:szCs w:val="26"/>
        </w:rPr>
        <w:t>e</w:t>
      </w:r>
      <w:r w:rsidRPr="005865B6">
        <w:rPr>
          <w:b/>
          <w:bCs/>
          <w:sz w:val="26"/>
          <w:szCs w:val="26"/>
        </w:rPr>
        <w:t xml:space="preserve"> u inozemstvo i unutar općeg proračuna</w:t>
      </w:r>
    </w:p>
    <w:p w14:paraId="37C5FF97" w14:textId="77777777" w:rsidR="00606EB2" w:rsidRPr="005865B6" w:rsidRDefault="00606EB2" w:rsidP="00E128CD">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5865B6" w14:paraId="618EED0E"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EB0AD0"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AA7EC" w14:textId="77777777" w:rsidR="00606EB2" w:rsidRPr="005865B6" w:rsidRDefault="001436E7">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90B2F" w14:textId="77777777" w:rsidR="00606EB2" w:rsidRPr="005865B6" w:rsidRDefault="001436E7">
            <w:pPr>
              <w:pStyle w:val="TableContents"/>
              <w:jc w:val="center"/>
            </w:pPr>
            <w:r w:rsidRPr="005865B6">
              <w:t>Indeks</w:t>
            </w:r>
          </w:p>
        </w:tc>
      </w:tr>
      <w:tr w:rsidR="00606EB2" w:rsidRPr="005865B6" w14:paraId="4E9629C1"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432909E7" w14:textId="5DB87DFF" w:rsidR="00606EB2" w:rsidRPr="005865B6" w:rsidRDefault="00D902F7">
            <w:pPr>
              <w:pStyle w:val="TableContents"/>
              <w:jc w:val="center"/>
            </w:pPr>
            <w:r w:rsidRPr="005865B6">
              <w:t>302.362</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186DB844" w14:textId="11FD0EDF" w:rsidR="00606EB2" w:rsidRPr="005865B6" w:rsidRDefault="00D902F7" w:rsidP="00317D4E">
            <w:pPr>
              <w:pStyle w:val="TableContents"/>
              <w:jc w:val="center"/>
            </w:pPr>
            <w:r w:rsidRPr="005865B6">
              <w:t>346.3</w:t>
            </w:r>
            <w:r w:rsidR="00711894" w:rsidRPr="005865B6">
              <w:t>40</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2B7E8" w14:textId="4EC956B4" w:rsidR="00606EB2" w:rsidRPr="005865B6" w:rsidRDefault="00D902F7" w:rsidP="00F65064">
            <w:pPr>
              <w:pStyle w:val="TableContents"/>
              <w:jc w:val="center"/>
            </w:pPr>
            <w:r w:rsidRPr="005865B6">
              <w:t>114,5</w:t>
            </w:r>
          </w:p>
        </w:tc>
      </w:tr>
    </w:tbl>
    <w:p w14:paraId="71CCAF38" w14:textId="77777777" w:rsidR="00606EB2" w:rsidRPr="005865B6" w:rsidRDefault="00606EB2">
      <w:pPr>
        <w:pStyle w:val="Standard"/>
        <w:ind w:left="540" w:hanging="540"/>
        <w:jc w:val="both"/>
        <w:rPr>
          <w:b/>
          <w:bCs/>
          <w:sz w:val="26"/>
          <w:szCs w:val="26"/>
        </w:rPr>
      </w:pPr>
    </w:p>
    <w:p w14:paraId="546AFCF1" w14:textId="77777777" w:rsidR="00606EB2" w:rsidRPr="005865B6" w:rsidRDefault="00606EB2" w:rsidP="00747ED0">
      <w:pPr>
        <w:pStyle w:val="Standard"/>
        <w:jc w:val="both"/>
        <w:rPr>
          <w:b/>
          <w:bCs/>
          <w:sz w:val="26"/>
          <w:szCs w:val="26"/>
        </w:rPr>
      </w:pPr>
    </w:p>
    <w:p w14:paraId="27767E4C" w14:textId="2DF7FFD1" w:rsidR="00C530F6" w:rsidRPr="005865B6" w:rsidRDefault="00FB4BCC" w:rsidP="006D255E">
      <w:pPr>
        <w:pStyle w:val="Standard"/>
        <w:jc w:val="both"/>
        <w:rPr>
          <w:b/>
          <w:bCs/>
        </w:rPr>
      </w:pPr>
      <w:r w:rsidRPr="005865B6">
        <w:rPr>
          <w:b/>
          <w:bCs/>
        </w:rPr>
        <w:t>Unutar podskupine rashoda pomoći unutar općeg proračuna (AOP 22</w:t>
      </w:r>
      <w:r w:rsidR="000E585C" w:rsidRPr="005865B6">
        <w:rPr>
          <w:b/>
          <w:bCs/>
        </w:rPr>
        <w:t>6</w:t>
      </w:r>
      <w:r w:rsidRPr="005865B6">
        <w:rPr>
          <w:b/>
          <w:bCs/>
        </w:rPr>
        <w:t>) odstupanje bilježi:</w:t>
      </w:r>
    </w:p>
    <w:p w14:paraId="609E69E0" w14:textId="236063C0" w:rsidR="00850608" w:rsidRPr="005865B6" w:rsidRDefault="00850608" w:rsidP="006D255E">
      <w:pPr>
        <w:pStyle w:val="Standard"/>
        <w:jc w:val="both"/>
      </w:pPr>
      <w:r w:rsidRPr="005865B6">
        <w:t>(AOP 227) rashodi za tekuće pomoći unutar općeg proračuna izvršene su u iznosu od 2.966 kn a odnose se na sufinanciranje projekta Promo.</w:t>
      </w:r>
    </w:p>
    <w:p w14:paraId="07D7EDCC" w14:textId="0F34333D" w:rsidR="00FB4BCC" w:rsidRPr="005865B6" w:rsidRDefault="00FB4BCC" w:rsidP="006D255E">
      <w:pPr>
        <w:pStyle w:val="Standard"/>
        <w:jc w:val="both"/>
      </w:pPr>
      <w:r w:rsidRPr="005865B6">
        <w:t>(AOP 2</w:t>
      </w:r>
      <w:r w:rsidR="005F6C02" w:rsidRPr="005865B6">
        <w:t>28</w:t>
      </w:r>
      <w:r w:rsidRPr="005865B6">
        <w:t>) rashodi za kapitalne pomoći unutar općeg proračuna  izvršen</w:t>
      </w:r>
      <w:r w:rsidR="00BE563F" w:rsidRPr="005865B6">
        <w:t>e</w:t>
      </w:r>
      <w:r w:rsidRPr="005865B6">
        <w:t xml:space="preserve"> su u iznosu od </w:t>
      </w:r>
      <w:r w:rsidR="00631A91" w:rsidRPr="005865B6">
        <w:t>14.300</w:t>
      </w:r>
      <w:r w:rsidRPr="005865B6">
        <w:t xml:space="preserve"> </w:t>
      </w:r>
      <w:r w:rsidR="005F6C02" w:rsidRPr="005865B6">
        <w:t>kn</w:t>
      </w:r>
      <w:r w:rsidR="00AD0B63" w:rsidRPr="005865B6">
        <w:t xml:space="preserve"> a odnose se na plaćanje udjela JLS temeljem čl. 11. Dodatka ugovoru po računu trg. društva – </w:t>
      </w:r>
      <w:proofErr w:type="spellStart"/>
      <w:r w:rsidR="00AD0B63" w:rsidRPr="005865B6">
        <w:t>Gradatin</w:t>
      </w:r>
      <w:proofErr w:type="spellEnd"/>
      <w:r w:rsidR="00AD0B63" w:rsidRPr="005865B6">
        <w:t>.</w:t>
      </w:r>
    </w:p>
    <w:p w14:paraId="01CA69D4" w14:textId="77777777" w:rsidR="000E085A" w:rsidRPr="005865B6" w:rsidRDefault="000E085A" w:rsidP="006D255E">
      <w:pPr>
        <w:pStyle w:val="Standard"/>
        <w:jc w:val="both"/>
      </w:pPr>
    </w:p>
    <w:p w14:paraId="4D4A9EC4" w14:textId="77777777" w:rsidR="000E085A" w:rsidRPr="005865B6" w:rsidRDefault="000E085A" w:rsidP="006D255E">
      <w:pPr>
        <w:pStyle w:val="Standard"/>
        <w:jc w:val="both"/>
        <w:rPr>
          <w:b/>
          <w:bCs/>
        </w:rPr>
      </w:pPr>
      <w:r w:rsidRPr="005865B6">
        <w:rPr>
          <w:b/>
          <w:bCs/>
        </w:rPr>
        <w:t>Unutar podskupine rashoda pomoći proračunski</w:t>
      </w:r>
      <w:r w:rsidR="00A744AA" w:rsidRPr="005865B6">
        <w:rPr>
          <w:b/>
          <w:bCs/>
        </w:rPr>
        <w:t>m</w:t>
      </w:r>
      <w:r w:rsidRPr="005865B6">
        <w:rPr>
          <w:b/>
          <w:bCs/>
        </w:rPr>
        <w:t xml:space="preserve"> korisnicima drugih proračuna (AOP </w:t>
      </w:r>
      <w:r w:rsidR="00AF03AC" w:rsidRPr="005865B6">
        <w:rPr>
          <w:b/>
          <w:bCs/>
        </w:rPr>
        <w:t>231) odstupanje bilježi:</w:t>
      </w:r>
    </w:p>
    <w:p w14:paraId="42B99A40" w14:textId="77777777" w:rsidR="007C3301" w:rsidRPr="005865B6" w:rsidRDefault="00FB4BCC" w:rsidP="00521D76">
      <w:pPr>
        <w:pStyle w:val="Standard"/>
        <w:ind w:left="540" w:hanging="540"/>
        <w:jc w:val="both"/>
      </w:pPr>
      <w:r w:rsidRPr="005865B6">
        <w:t>(AOP 232) rashodi za tekuće pomoći proračunskim korisnicima drugih proračuna</w:t>
      </w:r>
      <w:r w:rsidR="00561467" w:rsidRPr="005865B6">
        <w:t xml:space="preserve"> </w:t>
      </w:r>
      <w:r w:rsidR="00521D76" w:rsidRPr="005865B6">
        <w:t xml:space="preserve"> izvršeni su</w:t>
      </w:r>
    </w:p>
    <w:p w14:paraId="160A8ACF" w14:textId="5BA18079" w:rsidR="00521D76" w:rsidRPr="005865B6" w:rsidRDefault="00561467" w:rsidP="00521D76">
      <w:pPr>
        <w:pStyle w:val="Standard"/>
        <w:ind w:left="540" w:hanging="540"/>
        <w:jc w:val="both"/>
        <w:rPr>
          <w:bCs/>
        </w:rPr>
      </w:pPr>
      <w:r w:rsidRPr="005865B6">
        <w:t xml:space="preserve">u iznosu od </w:t>
      </w:r>
      <w:r w:rsidR="00595FFC" w:rsidRPr="005865B6">
        <w:t>329.07</w:t>
      </w:r>
      <w:r w:rsidR="00B95C23" w:rsidRPr="005865B6">
        <w:t>4</w:t>
      </w:r>
      <w:r w:rsidRPr="005865B6">
        <w:t xml:space="preserve"> kn ili </w:t>
      </w:r>
      <w:r w:rsidR="00595FFC" w:rsidRPr="005865B6">
        <w:t>108,8</w:t>
      </w:r>
      <w:r w:rsidRPr="005865B6">
        <w:t xml:space="preserve"> % u odnosu na ostvarenje prethodne godine</w:t>
      </w:r>
      <w:r w:rsidR="009E2ED1" w:rsidRPr="005865B6">
        <w:t>.</w:t>
      </w:r>
    </w:p>
    <w:p w14:paraId="31CBD275" w14:textId="77777777" w:rsidR="00FB4BCC" w:rsidRPr="005865B6" w:rsidRDefault="00FB4BCC" w:rsidP="00521D76">
      <w:pPr>
        <w:pStyle w:val="Standard"/>
        <w:jc w:val="both"/>
        <w:rPr>
          <w:sz w:val="26"/>
          <w:szCs w:val="26"/>
        </w:rPr>
      </w:pPr>
    </w:p>
    <w:p w14:paraId="7355B2B6" w14:textId="77777777" w:rsidR="00C530F6" w:rsidRPr="005865B6" w:rsidRDefault="00C530F6" w:rsidP="006D255E">
      <w:pPr>
        <w:pStyle w:val="Standard"/>
        <w:jc w:val="both"/>
        <w:rPr>
          <w:b/>
          <w:bCs/>
          <w:sz w:val="26"/>
          <w:szCs w:val="26"/>
        </w:rPr>
      </w:pPr>
    </w:p>
    <w:p w14:paraId="39B5D2A6" w14:textId="0EE7E40F" w:rsidR="00606EB2" w:rsidRPr="005865B6" w:rsidRDefault="009B725B" w:rsidP="006D255E">
      <w:pPr>
        <w:pStyle w:val="Standard"/>
        <w:jc w:val="both"/>
        <w:rPr>
          <w:b/>
          <w:bCs/>
          <w:sz w:val="26"/>
          <w:szCs w:val="26"/>
        </w:rPr>
      </w:pPr>
      <w:r w:rsidRPr="005865B6">
        <w:rPr>
          <w:b/>
          <w:bCs/>
          <w:sz w:val="26"/>
          <w:szCs w:val="26"/>
        </w:rPr>
        <w:t>AOP 24</w:t>
      </w:r>
      <w:r w:rsidR="003B7350" w:rsidRPr="005865B6">
        <w:rPr>
          <w:b/>
          <w:bCs/>
          <w:sz w:val="26"/>
          <w:szCs w:val="26"/>
        </w:rPr>
        <w:t>7</w:t>
      </w:r>
      <w:r w:rsidRPr="005865B6">
        <w:rPr>
          <w:b/>
          <w:bCs/>
          <w:sz w:val="26"/>
          <w:szCs w:val="26"/>
        </w:rPr>
        <w:t xml:space="preserve"> Naknade građanima i kućanstvima na temelju osiguranja i druge naknade</w:t>
      </w:r>
    </w:p>
    <w:p w14:paraId="0F5EFEC1" w14:textId="77777777" w:rsidR="00323C02" w:rsidRPr="005865B6" w:rsidRDefault="00323C02" w:rsidP="006D255E">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323C02" w:rsidRPr="005865B6" w14:paraId="19750157" w14:textId="77777777" w:rsidTr="001E4C89">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5FDA6D" w14:textId="77777777" w:rsidR="00323C02" w:rsidRPr="005865B6" w:rsidRDefault="00323C02" w:rsidP="001E4C89">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4B56CC" w14:textId="77777777" w:rsidR="00323C02" w:rsidRPr="005865B6" w:rsidRDefault="00323C02" w:rsidP="001E4C89">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4DA9BA" w14:textId="77777777" w:rsidR="00323C02" w:rsidRPr="005865B6" w:rsidRDefault="00323C02" w:rsidP="001E4C89">
            <w:pPr>
              <w:pStyle w:val="TableContents"/>
              <w:jc w:val="center"/>
            </w:pPr>
            <w:r w:rsidRPr="005865B6">
              <w:t>Indeks</w:t>
            </w:r>
          </w:p>
        </w:tc>
      </w:tr>
      <w:tr w:rsidR="00323C02" w:rsidRPr="005865B6" w14:paraId="5607F640" w14:textId="77777777" w:rsidTr="001E4C89">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38C125FF" w14:textId="27E7B485" w:rsidR="00323C02" w:rsidRPr="005865B6" w:rsidRDefault="004B5475" w:rsidP="001E4C89">
            <w:pPr>
              <w:pStyle w:val="TableContents"/>
              <w:jc w:val="center"/>
            </w:pPr>
            <w:r w:rsidRPr="005865B6">
              <w:t>288.756</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64DB74BC" w14:textId="40272CFE" w:rsidR="00323C02" w:rsidRPr="005865B6" w:rsidRDefault="004B5475" w:rsidP="001E4C89">
            <w:pPr>
              <w:pStyle w:val="TableContents"/>
              <w:jc w:val="center"/>
            </w:pPr>
            <w:r w:rsidRPr="005865B6">
              <w:t>309.506</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1A4CFA" w14:textId="50E8EAB5" w:rsidR="009717C9" w:rsidRPr="005865B6" w:rsidRDefault="004B5475" w:rsidP="009717C9">
            <w:pPr>
              <w:pStyle w:val="TableContents"/>
              <w:jc w:val="center"/>
            </w:pPr>
            <w:r w:rsidRPr="005865B6">
              <w:t>107,2</w:t>
            </w:r>
          </w:p>
        </w:tc>
      </w:tr>
    </w:tbl>
    <w:p w14:paraId="0A7ED084" w14:textId="77777777" w:rsidR="007D09C5" w:rsidRPr="005865B6" w:rsidRDefault="007D09C5" w:rsidP="00801A5A">
      <w:pPr>
        <w:pStyle w:val="Standard"/>
        <w:jc w:val="both"/>
      </w:pPr>
    </w:p>
    <w:p w14:paraId="3E121492" w14:textId="3E082024" w:rsidR="007D09C5" w:rsidRPr="005865B6" w:rsidRDefault="007D09C5" w:rsidP="00801A5A">
      <w:pPr>
        <w:pStyle w:val="Standard"/>
        <w:jc w:val="both"/>
        <w:rPr>
          <w:b/>
          <w:bCs/>
        </w:rPr>
      </w:pPr>
      <w:r w:rsidRPr="005865B6">
        <w:rPr>
          <w:b/>
          <w:bCs/>
        </w:rPr>
        <w:t>Unutar podskupine rashoda ostale naknade građanima i kućanstvima iz proračuna (AOP 25</w:t>
      </w:r>
      <w:r w:rsidR="00A15CC2" w:rsidRPr="005865B6">
        <w:rPr>
          <w:b/>
          <w:bCs/>
        </w:rPr>
        <w:t>4</w:t>
      </w:r>
      <w:r w:rsidRPr="005865B6">
        <w:rPr>
          <w:b/>
          <w:bCs/>
        </w:rPr>
        <w:t>) odstupanje bilježi:</w:t>
      </w:r>
    </w:p>
    <w:p w14:paraId="56ABFCDB" w14:textId="77777777" w:rsidR="007D09C5" w:rsidRPr="005865B6" w:rsidRDefault="007D09C5" w:rsidP="00801A5A">
      <w:pPr>
        <w:pStyle w:val="Standard"/>
        <w:jc w:val="both"/>
      </w:pPr>
    </w:p>
    <w:p w14:paraId="1F1032E7" w14:textId="79A135C9" w:rsidR="00801A5A" w:rsidRPr="005865B6" w:rsidRDefault="00801A5A" w:rsidP="00801A5A">
      <w:pPr>
        <w:pStyle w:val="Standard"/>
        <w:jc w:val="both"/>
      </w:pPr>
      <w:r w:rsidRPr="005865B6">
        <w:t>(AOP 25</w:t>
      </w:r>
      <w:r w:rsidR="00A15CC2" w:rsidRPr="005865B6">
        <w:t>5</w:t>
      </w:r>
      <w:r w:rsidRPr="005865B6">
        <w:t xml:space="preserve">)  naknade građanima i kućanstvima u novcu izvršene su u iznosu od </w:t>
      </w:r>
      <w:r w:rsidR="004B5475" w:rsidRPr="005865B6">
        <w:t>153.299</w:t>
      </w:r>
      <w:r w:rsidR="00A15CC2" w:rsidRPr="005865B6">
        <w:t xml:space="preserve"> kn</w:t>
      </w:r>
      <w:r w:rsidR="00A16E21" w:rsidRPr="005865B6">
        <w:t xml:space="preserve"> ili </w:t>
      </w:r>
      <w:r w:rsidR="004B5475" w:rsidRPr="005865B6">
        <w:t>97,5</w:t>
      </w:r>
      <w:r w:rsidR="00A16E21" w:rsidRPr="005865B6">
        <w:t xml:space="preserve"> %.</w:t>
      </w:r>
    </w:p>
    <w:p w14:paraId="1F567CA7" w14:textId="270BC9D8" w:rsidR="0051206F" w:rsidRPr="005865B6" w:rsidRDefault="0051206F" w:rsidP="00801A5A">
      <w:pPr>
        <w:pStyle w:val="Standard"/>
        <w:jc w:val="both"/>
      </w:pPr>
      <w:r w:rsidRPr="005865B6">
        <w:t xml:space="preserve">Ove godine u izvještajnom razdoblju nije bilo rashoda radi dodjele jednokratne novčane pomoći učenicima srednjih škola s područja općine Veliki Bukovec koja </w:t>
      </w:r>
      <w:r w:rsidR="00AF0870" w:rsidRPr="005865B6">
        <w:t>je prošle godine isplaćivana prvi put.</w:t>
      </w:r>
    </w:p>
    <w:p w14:paraId="3225DC31" w14:textId="60945023" w:rsidR="00A15CC2" w:rsidRPr="005865B6" w:rsidRDefault="009E2ED1" w:rsidP="00385BBD">
      <w:pPr>
        <w:pStyle w:val="Standard"/>
        <w:jc w:val="both"/>
      </w:pPr>
      <w:r w:rsidRPr="005865B6">
        <w:t xml:space="preserve">(AOP 256) naknade građanima i kućanstvima u naravi izvršene su u iznosu od </w:t>
      </w:r>
      <w:r w:rsidR="004B5475" w:rsidRPr="005865B6">
        <w:t>156.207</w:t>
      </w:r>
      <w:r w:rsidRPr="005865B6">
        <w:t xml:space="preserve"> kn ili </w:t>
      </w:r>
      <w:r w:rsidR="002A4F7C" w:rsidRPr="005865B6">
        <w:t>1</w:t>
      </w:r>
      <w:r w:rsidR="004B5475" w:rsidRPr="005865B6">
        <w:t>18,8</w:t>
      </w:r>
      <w:r w:rsidRPr="005865B6">
        <w:t xml:space="preserve"> %.</w:t>
      </w:r>
    </w:p>
    <w:p w14:paraId="638CF1E5" w14:textId="023374BB" w:rsidR="009B5D2B" w:rsidRPr="005865B6" w:rsidRDefault="009B5D2B" w:rsidP="00385BBD">
      <w:pPr>
        <w:pStyle w:val="Standard"/>
        <w:jc w:val="both"/>
      </w:pPr>
      <w:r w:rsidRPr="005865B6">
        <w:t xml:space="preserve">U izvještajnom razdoblju ove godine nastali su veći rashodi za uslugu prijevoza učenika OŠ Veliki Bukovec kao i rashodi za </w:t>
      </w:r>
      <w:r w:rsidR="00410A66" w:rsidRPr="005865B6">
        <w:t>sufinanciranje dječjih vrtića za djecu koja pohađaju dječje vrtiće izvan općine Veliki Bukovec.</w:t>
      </w:r>
    </w:p>
    <w:p w14:paraId="4C8E0D42" w14:textId="77777777" w:rsidR="00410A66" w:rsidRPr="005865B6" w:rsidRDefault="00410A66">
      <w:pPr>
        <w:pStyle w:val="Standard"/>
        <w:ind w:left="540" w:hanging="540"/>
        <w:jc w:val="both"/>
        <w:rPr>
          <w:b/>
          <w:bCs/>
          <w:sz w:val="26"/>
          <w:szCs w:val="26"/>
        </w:rPr>
      </w:pPr>
    </w:p>
    <w:p w14:paraId="58B0AB63" w14:textId="490128FB" w:rsidR="00606EB2" w:rsidRPr="005865B6" w:rsidRDefault="001436E7">
      <w:pPr>
        <w:pStyle w:val="Standard"/>
        <w:ind w:left="540" w:hanging="540"/>
        <w:jc w:val="both"/>
        <w:rPr>
          <w:b/>
          <w:bCs/>
          <w:sz w:val="26"/>
          <w:szCs w:val="26"/>
        </w:rPr>
      </w:pPr>
      <w:r w:rsidRPr="005865B6">
        <w:rPr>
          <w:b/>
          <w:bCs/>
          <w:sz w:val="26"/>
          <w:szCs w:val="26"/>
        </w:rPr>
        <w:t>AOP 25</w:t>
      </w:r>
      <w:r w:rsidR="007A3CA9" w:rsidRPr="005865B6">
        <w:rPr>
          <w:b/>
          <w:bCs/>
          <w:sz w:val="26"/>
          <w:szCs w:val="26"/>
        </w:rPr>
        <w:t>8</w:t>
      </w:r>
      <w:r w:rsidRPr="005865B6">
        <w:rPr>
          <w:b/>
          <w:bCs/>
          <w:sz w:val="26"/>
          <w:szCs w:val="26"/>
        </w:rPr>
        <w:t xml:space="preserve"> Ostali rashodi</w:t>
      </w:r>
    </w:p>
    <w:p w14:paraId="0CABCFB5" w14:textId="77777777" w:rsidR="00606EB2" w:rsidRPr="005865B6"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5865B6" w14:paraId="79171F4D"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4C04F5"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66F94E" w14:textId="77777777" w:rsidR="00606EB2" w:rsidRPr="005865B6" w:rsidRDefault="001436E7">
            <w:pPr>
              <w:pStyle w:val="TableContents"/>
              <w:jc w:val="center"/>
            </w:pPr>
            <w:r w:rsidRPr="005865B6">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6F80F" w14:textId="77777777" w:rsidR="00606EB2" w:rsidRPr="005865B6" w:rsidRDefault="001436E7">
            <w:pPr>
              <w:pStyle w:val="TableContents"/>
              <w:jc w:val="center"/>
            </w:pPr>
            <w:r w:rsidRPr="005865B6">
              <w:t>Indeks</w:t>
            </w:r>
          </w:p>
        </w:tc>
      </w:tr>
      <w:tr w:rsidR="00606EB2" w:rsidRPr="005865B6" w14:paraId="351B3D5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0718D499" w14:textId="20537255" w:rsidR="00606EB2" w:rsidRPr="005865B6" w:rsidRDefault="005D6247" w:rsidP="008D2F57">
            <w:pPr>
              <w:pStyle w:val="TableContents"/>
              <w:jc w:val="center"/>
            </w:pPr>
            <w:r w:rsidRPr="005865B6">
              <w:t>524.942</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EA09C5D" w14:textId="47A80B75" w:rsidR="00606EB2" w:rsidRPr="005865B6" w:rsidRDefault="005D6247" w:rsidP="006D255E">
            <w:pPr>
              <w:pStyle w:val="TableContents"/>
              <w:jc w:val="center"/>
            </w:pPr>
            <w:r w:rsidRPr="005865B6">
              <w:t>458.777</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B911F" w14:textId="6388B2FC" w:rsidR="00606EB2" w:rsidRPr="005865B6" w:rsidRDefault="005D6247">
            <w:pPr>
              <w:pStyle w:val="TableContents"/>
              <w:jc w:val="center"/>
            </w:pPr>
            <w:r w:rsidRPr="005865B6">
              <w:t>87,4</w:t>
            </w:r>
          </w:p>
        </w:tc>
      </w:tr>
    </w:tbl>
    <w:p w14:paraId="710CD55F" w14:textId="77777777" w:rsidR="009C2D40" w:rsidRPr="005865B6" w:rsidRDefault="009C2D40">
      <w:pPr>
        <w:pStyle w:val="Standard"/>
        <w:jc w:val="both"/>
        <w:rPr>
          <w:b/>
          <w:bCs/>
        </w:rPr>
      </w:pPr>
    </w:p>
    <w:p w14:paraId="14628225" w14:textId="00909B95" w:rsidR="00606EB2" w:rsidRPr="005865B6" w:rsidRDefault="005D6247">
      <w:pPr>
        <w:pStyle w:val="Standard"/>
        <w:jc w:val="both"/>
        <w:rPr>
          <w:b/>
          <w:color w:val="000000"/>
        </w:rPr>
      </w:pPr>
      <w:r w:rsidRPr="005865B6">
        <w:rPr>
          <w:b/>
          <w:color w:val="000000"/>
        </w:rPr>
        <w:t>Unutar podskupine tekuće donacije (AOP 259) odstupanje bilježi:</w:t>
      </w:r>
    </w:p>
    <w:p w14:paraId="1EE38C47" w14:textId="77777777" w:rsidR="00414706" w:rsidRPr="005865B6" w:rsidRDefault="005D6247">
      <w:pPr>
        <w:pStyle w:val="Standard"/>
        <w:jc w:val="both"/>
        <w:rPr>
          <w:bCs/>
          <w:color w:val="000000"/>
        </w:rPr>
      </w:pPr>
      <w:r w:rsidRPr="005865B6">
        <w:rPr>
          <w:bCs/>
          <w:color w:val="000000"/>
        </w:rPr>
        <w:t>(AOP 261) tekuće donacije u naravi izvršene su u iznosu od 3.043 kn ili 42,1 %.</w:t>
      </w:r>
    </w:p>
    <w:p w14:paraId="4AEA5FD8" w14:textId="4412C385" w:rsidR="00414706" w:rsidRPr="005865B6" w:rsidRDefault="00414706">
      <w:pPr>
        <w:pStyle w:val="Standard"/>
        <w:jc w:val="both"/>
        <w:rPr>
          <w:bCs/>
          <w:color w:val="000000"/>
        </w:rPr>
      </w:pPr>
      <w:r w:rsidRPr="005865B6">
        <w:rPr>
          <w:bCs/>
          <w:color w:val="000000"/>
        </w:rPr>
        <w:t>U izvještajnom razdoblju prošle godine donirane su potrepštine za pomoć potresom pogođenim područjima.</w:t>
      </w:r>
    </w:p>
    <w:p w14:paraId="3C99CFB0" w14:textId="77777777" w:rsidR="00093D64" w:rsidRPr="005865B6" w:rsidRDefault="00093D64">
      <w:pPr>
        <w:pStyle w:val="Standard"/>
        <w:jc w:val="both"/>
        <w:rPr>
          <w:bCs/>
          <w:color w:val="000000"/>
        </w:rPr>
      </w:pPr>
    </w:p>
    <w:p w14:paraId="067B393F" w14:textId="193D81D5" w:rsidR="00FB77A9" w:rsidRPr="005865B6" w:rsidRDefault="00433C89" w:rsidP="00FB77A9">
      <w:pPr>
        <w:pStyle w:val="Standard"/>
        <w:rPr>
          <w:b/>
          <w:color w:val="000000"/>
        </w:rPr>
      </w:pPr>
      <w:r w:rsidRPr="005865B6">
        <w:rPr>
          <w:b/>
          <w:color w:val="000000"/>
        </w:rPr>
        <w:t xml:space="preserve">Unutar podskupine </w:t>
      </w:r>
      <w:r w:rsidR="00DB3405" w:rsidRPr="005865B6">
        <w:rPr>
          <w:b/>
          <w:color w:val="000000"/>
        </w:rPr>
        <w:t>kapitalne</w:t>
      </w:r>
      <w:r w:rsidRPr="005865B6">
        <w:rPr>
          <w:b/>
          <w:color w:val="000000"/>
        </w:rPr>
        <w:t xml:space="preserve"> donacije (AOP 2</w:t>
      </w:r>
      <w:r w:rsidR="00DB3405" w:rsidRPr="005865B6">
        <w:rPr>
          <w:b/>
          <w:color w:val="000000"/>
        </w:rPr>
        <w:t>63</w:t>
      </w:r>
      <w:r w:rsidRPr="005865B6">
        <w:rPr>
          <w:b/>
          <w:color w:val="000000"/>
        </w:rPr>
        <w:t>) odstupanje biljež</w:t>
      </w:r>
      <w:r w:rsidR="00120B7B" w:rsidRPr="005865B6">
        <w:rPr>
          <w:b/>
          <w:color w:val="000000"/>
        </w:rPr>
        <w:t>i</w:t>
      </w:r>
      <w:r w:rsidR="00FE7404" w:rsidRPr="005865B6">
        <w:rPr>
          <w:b/>
          <w:color w:val="000000"/>
        </w:rPr>
        <w:t>:</w:t>
      </w:r>
    </w:p>
    <w:p w14:paraId="1A3053B3" w14:textId="098D7C4C" w:rsidR="00D930FD" w:rsidRPr="005865B6" w:rsidRDefault="00433C89" w:rsidP="00AF2D32">
      <w:pPr>
        <w:pStyle w:val="Standard"/>
        <w:jc w:val="both"/>
        <w:rPr>
          <w:b/>
          <w:color w:val="000000"/>
        </w:rPr>
      </w:pPr>
      <w:r w:rsidRPr="005865B6">
        <w:rPr>
          <w:bCs/>
          <w:color w:val="000000"/>
        </w:rPr>
        <w:t>(AOP 2</w:t>
      </w:r>
      <w:r w:rsidR="00DA344C" w:rsidRPr="005865B6">
        <w:rPr>
          <w:bCs/>
          <w:color w:val="000000"/>
        </w:rPr>
        <w:t>6</w:t>
      </w:r>
      <w:r w:rsidR="00AF2D32" w:rsidRPr="005865B6">
        <w:rPr>
          <w:bCs/>
          <w:color w:val="000000"/>
        </w:rPr>
        <w:t>5</w:t>
      </w:r>
      <w:r w:rsidRPr="005865B6">
        <w:rPr>
          <w:bCs/>
          <w:color w:val="000000"/>
        </w:rPr>
        <w:t xml:space="preserve">) </w:t>
      </w:r>
      <w:r w:rsidR="00AF2D32" w:rsidRPr="005865B6">
        <w:rPr>
          <w:bCs/>
          <w:color w:val="000000"/>
        </w:rPr>
        <w:t>kapitalne</w:t>
      </w:r>
      <w:r w:rsidRPr="005865B6">
        <w:rPr>
          <w:bCs/>
          <w:color w:val="000000"/>
        </w:rPr>
        <w:t xml:space="preserve"> donacije</w:t>
      </w:r>
      <w:r w:rsidR="00053625" w:rsidRPr="005865B6">
        <w:rPr>
          <w:bCs/>
          <w:color w:val="000000"/>
        </w:rPr>
        <w:t xml:space="preserve"> izvršene su u iznosu od </w:t>
      </w:r>
      <w:r w:rsidR="00915089" w:rsidRPr="005865B6">
        <w:rPr>
          <w:bCs/>
          <w:color w:val="000000"/>
        </w:rPr>
        <w:t>110.029</w:t>
      </w:r>
      <w:r w:rsidR="00053625" w:rsidRPr="005865B6">
        <w:rPr>
          <w:bCs/>
          <w:color w:val="000000"/>
        </w:rPr>
        <w:t xml:space="preserve"> kn </w:t>
      </w:r>
      <w:r w:rsidR="00AF2D32" w:rsidRPr="005865B6">
        <w:rPr>
          <w:bCs/>
          <w:color w:val="000000"/>
        </w:rPr>
        <w:t xml:space="preserve"> a odnose se na </w:t>
      </w:r>
      <w:r w:rsidR="009C32BB" w:rsidRPr="005865B6">
        <w:rPr>
          <w:bCs/>
          <w:color w:val="000000"/>
        </w:rPr>
        <w:t xml:space="preserve">donaciju </w:t>
      </w:r>
    </w:p>
    <w:p w14:paraId="09B96773" w14:textId="255F1138" w:rsidR="00053625" w:rsidRPr="005865B6" w:rsidRDefault="009C32BB" w:rsidP="00AF2D32">
      <w:pPr>
        <w:pStyle w:val="Standard"/>
        <w:jc w:val="both"/>
        <w:rPr>
          <w:bCs/>
          <w:color w:val="000000"/>
        </w:rPr>
      </w:pPr>
      <w:r w:rsidRPr="005865B6">
        <w:rPr>
          <w:bCs/>
          <w:color w:val="000000"/>
        </w:rPr>
        <w:t>uredskog kontejnera</w:t>
      </w:r>
      <w:r w:rsidR="00203FFA" w:rsidRPr="005865B6">
        <w:rPr>
          <w:bCs/>
          <w:color w:val="000000"/>
        </w:rPr>
        <w:t xml:space="preserve"> u iznosu od 38.075 kn i donacije za mjeru poticanja rješavanja stambenog pitanja za mlade u iznosu od 71.954 kn.</w:t>
      </w:r>
    </w:p>
    <w:p w14:paraId="587D6E6F" w14:textId="77777777" w:rsidR="00DA344C" w:rsidRPr="005865B6" w:rsidRDefault="00DA344C" w:rsidP="008E63FB">
      <w:pPr>
        <w:pStyle w:val="Standard"/>
        <w:jc w:val="both"/>
        <w:rPr>
          <w:b/>
          <w:color w:val="000000"/>
        </w:rPr>
      </w:pPr>
    </w:p>
    <w:p w14:paraId="6B628C93" w14:textId="77777777" w:rsidR="00CF341E" w:rsidRDefault="00CF341E" w:rsidP="008E63FB">
      <w:pPr>
        <w:pStyle w:val="Standard"/>
        <w:jc w:val="both"/>
        <w:rPr>
          <w:b/>
          <w:color w:val="000000"/>
        </w:rPr>
      </w:pPr>
    </w:p>
    <w:p w14:paraId="683E292E" w14:textId="327C735D" w:rsidR="00FE7404" w:rsidRPr="005865B6" w:rsidRDefault="00FE7404" w:rsidP="008E63FB">
      <w:pPr>
        <w:pStyle w:val="Standard"/>
        <w:jc w:val="both"/>
        <w:rPr>
          <w:b/>
          <w:color w:val="000000"/>
        </w:rPr>
      </w:pPr>
      <w:r w:rsidRPr="005865B6">
        <w:rPr>
          <w:b/>
          <w:color w:val="000000"/>
        </w:rPr>
        <w:lastRenderedPageBreak/>
        <w:t xml:space="preserve">Unutar podskupine </w:t>
      </w:r>
      <w:r w:rsidR="00C8725B" w:rsidRPr="005865B6">
        <w:rPr>
          <w:b/>
          <w:color w:val="000000"/>
        </w:rPr>
        <w:t xml:space="preserve">kazne, penali i naknade štete </w:t>
      </w:r>
      <w:r w:rsidRPr="005865B6">
        <w:rPr>
          <w:b/>
          <w:color w:val="000000"/>
        </w:rPr>
        <w:t xml:space="preserve"> (AOP 26</w:t>
      </w:r>
      <w:r w:rsidR="00C8725B" w:rsidRPr="005865B6">
        <w:rPr>
          <w:b/>
          <w:color w:val="000000"/>
        </w:rPr>
        <w:t>8</w:t>
      </w:r>
      <w:r w:rsidRPr="005865B6">
        <w:rPr>
          <w:b/>
          <w:color w:val="000000"/>
        </w:rPr>
        <w:t>) odstupanje biljež</w:t>
      </w:r>
      <w:r w:rsidR="00105603" w:rsidRPr="005865B6">
        <w:rPr>
          <w:b/>
          <w:color w:val="000000"/>
        </w:rPr>
        <w:t>i</w:t>
      </w:r>
      <w:r w:rsidRPr="005865B6">
        <w:rPr>
          <w:b/>
          <w:color w:val="000000"/>
        </w:rPr>
        <w:t>:</w:t>
      </w:r>
    </w:p>
    <w:p w14:paraId="3C84DEA6" w14:textId="0A4B1A8B" w:rsidR="000564C1" w:rsidRPr="005865B6" w:rsidRDefault="00FE7404">
      <w:pPr>
        <w:pStyle w:val="Standard"/>
        <w:jc w:val="both"/>
        <w:rPr>
          <w:bCs/>
          <w:color w:val="000000"/>
        </w:rPr>
      </w:pPr>
      <w:r w:rsidRPr="005865B6">
        <w:rPr>
          <w:bCs/>
          <w:color w:val="000000"/>
        </w:rPr>
        <w:t>(AOP 26</w:t>
      </w:r>
      <w:r w:rsidR="00C8725B" w:rsidRPr="005865B6">
        <w:rPr>
          <w:bCs/>
          <w:color w:val="000000"/>
        </w:rPr>
        <w:t>9</w:t>
      </w:r>
      <w:r w:rsidRPr="005865B6">
        <w:rPr>
          <w:bCs/>
          <w:color w:val="000000"/>
        </w:rPr>
        <w:t xml:space="preserve">) </w:t>
      </w:r>
      <w:r w:rsidR="00C8725B" w:rsidRPr="005865B6">
        <w:rPr>
          <w:bCs/>
          <w:color w:val="000000"/>
        </w:rPr>
        <w:t>naknade šteta pravnim i fizičkim osobama izvršene su u iznosu 474 kn a odnose se na isplatu pomoći za ublažavanje posljedica el. nepogode.</w:t>
      </w:r>
    </w:p>
    <w:p w14:paraId="4F701F0D" w14:textId="77777777" w:rsidR="000564C1" w:rsidRPr="005865B6" w:rsidRDefault="000564C1">
      <w:pPr>
        <w:pStyle w:val="Standard"/>
        <w:jc w:val="both"/>
        <w:rPr>
          <w:b/>
          <w:color w:val="000000"/>
        </w:rPr>
      </w:pPr>
    </w:p>
    <w:p w14:paraId="72C4296E" w14:textId="4097AC11" w:rsidR="00606EB2" w:rsidRPr="005865B6" w:rsidRDefault="001436E7">
      <w:pPr>
        <w:pStyle w:val="Standard"/>
        <w:jc w:val="both"/>
        <w:rPr>
          <w:b/>
          <w:color w:val="000000"/>
        </w:rPr>
      </w:pPr>
      <w:r w:rsidRPr="005865B6">
        <w:rPr>
          <w:b/>
          <w:color w:val="000000"/>
        </w:rPr>
        <w:t>AOP 3</w:t>
      </w:r>
      <w:r w:rsidR="007F6D78" w:rsidRPr="005865B6">
        <w:rPr>
          <w:b/>
          <w:color w:val="000000"/>
        </w:rPr>
        <w:t>5</w:t>
      </w:r>
      <w:r w:rsidR="002F4C8F" w:rsidRPr="005865B6">
        <w:rPr>
          <w:b/>
          <w:color w:val="000000"/>
        </w:rPr>
        <w:t>7</w:t>
      </w:r>
      <w:r w:rsidRPr="005865B6">
        <w:rPr>
          <w:b/>
          <w:color w:val="000000"/>
        </w:rPr>
        <w:t xml:space="preserve"> Rashodi za nabavu proizvedene dugotrajne imovine</w:t>
      </w:r>
    </w:p>
    <w:p w14:paraId="6A765193" w14:textId="77777777" w:rsidR="00606EB2" w:rsidRPr="005865B6" w:rsidRDefault="00606EB2" w:rsidP="000A1E08">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5865B6" w14:paraId="76EEDB6F"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2474E7" w14:textId="77777777" w:rsidR="00606EB2" w:rsidRPr="005865B6" w:rsidRDefault="001436E7">
            <w:pPr>
              <w:pStyle w:val="TableContents"/>
              <w:jc w:val="center"/>
            </w:pPr>
            <w:r w:rsidRPr="005865B6">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A5AF77" w14:textId="77777777" w:rsidR="00606EB2" w:rsidRPr="005865B6" w:rsidRDefault="001436E7">
            <w:pPr>
              <w:pStyle w:val="TableContents"/>
              <w:jc w:val="center"/>
            </w:pPr>
            <w:r w:rsidRPr="005865B6">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93123" w14:textId="77777777" w:rsidR="00606EB2" w:rsidRPr="005865B6" w:rsidRDefault="001436E7">
            <w:pPr>
              <w:pStyle w:val="TableContents"/>
              <w:jc w:val="center"/>
            </w:pPr>
            <w:r w:rsidRPr="005865B6">
              <w:t>Indeks</w:t>
            </w:r>
          </w:p>
        </w:tc>
      </w:tr>
      <w:tr w:rsidR="00606EB2" w:rsidRPr="005865B6" w14:paraId="0FEEB0D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653BB8" w14:textId="69D702F4" w:rsidR="00606EB2" w:rsidRPr="005865B6" w:rsidRDefault="00ED29B7">
            <w:pPr>
              <w:pStyle w:val="TableContents"/>
              <w:jc w:val="center"/>
            </w:pPr>
            <w:r w:rsidRPr="005865B6">
              <w:t>1.010.798</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AB0C833" w14:textId="12A7A04B" w:rsidR="00606EB2" w:rsidRPr="005865B6" w:rsidRDefault="00ED29B7">
            <w:pPr>
              <w:pStyle w:val="TableContents"/>
              <w:jc w:val="center"/>
            </w:pPr>
            <w:r w:rsidRPr="005865B6">
              <w:t>3.786.103</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D3BDE" w14:textId="67CBEC40" w:rsidR="00606EB2" w:rsidRPr="005865B6" w:rsidRDefault="00ED29B7">
            <w:pPr>
              <w:pStyle w:val="TableContents"/>
              <w:jc w:val="center"/>
            </w:pPr>
            <w:r w:rsidRPr="005865B6">
              <w:t>374,6</w:t>
            </w:r>
          </w:p>
        </w:tc>
      </w:tr>
    </w:tbl>
    <w:p w14:paraId="5303891D" w14:textId="77777777" w:rsidR="00606EB2" w:rsidRPr="005865B6" w:rsidRDefault="00606EB2">
      <w:pPr>
        <w:pStyle w:val="Standard"/>
        <w:ind w:left="540" w:hanging="540"/>
        <w:jc w:val="both"/>
        <w:rPr>
          <w:b/>
          <w:bCs/>
          <w:sz w:val="26"/>
          <w:szCs w:val="26"/>
        </w:rPr>
      </w:pPr>
    </w:p>
    <w:p w14:paraId="303F41CF" w14:textId="77777777" w:rsidR="00943C73" w:rsidRPr="005865B6" w:rsidRDefault="00943C73" w:rsidP="00312B5D">
      <w:pPr>
        <w:pStyle w:val="Standard"/>
        <w:jc w:val="both"/>
        <w:rPr>
          <w:b/>
        </w:rPr>
      </w:pPr>
    </w:p>
    <w:p w14:paraId="084FE443" w14:textId="56F5D6D3" w:rsidR="00312B5D" w:rsidRPr="005865B6" w:rsidRDefault="00B17FFD" w:rsidP="00312B5D">
      <w:pPr>
        <w:pStyle w:val="Standard"/>
        <w:jc w:val="both"/>
        <w:rPr>
          <w:b/>
        </w:rPr>
      </w:pPr>
      <w:r w:rsidRPr="005865B6">
        <w:rPr>
          <w:b/>
        </w:rPr>
        <w:t xml:space="preserve">Unutar podskupine </w:t>
      </w:r>
      <w:r w:rsidR="00EE427E" w:rsidRPr="005865B6">
        <w:rPr>
          <w:b/>
        </w:rPr>
        <w:t>građevinski objekti</w:t>
      </w:r>
      <w:r w:rsidRPr="005865B6">
        <w:rPr>
          <w:b/>
        </w:rPr>
        <w:t xml:space="preserve"> (AOP 3</w:t>
      </w:r>
      <w:r w:rsidR="00EE427E" w:rsidRPr="005865B6">
        <w:rPr>
          <w:b/>
        </w:rPr>
        <w:t>58</w:t>
      </w:r>
      <w:r w:rsidRPr="005865B6">
        <w:rPr>
          <w:b/>
        </w:rPr>
        <w:t>) odstupanje biljež</w:t>
      </w:r>
      <w:r w:rsidR="000445B1" w:rsidRPr="005865B6">
        <w:rPr>
          <w:b/>
        </w:rPr>
        <w:t>e</w:t>
      </w:r>
      <w:r w:rsidRPr="005865B6">
        <w:rPr>
          <w:b/>
        </w:rPr>
        <w:t>:</w:t>
      </w:r>
    </w:p>
    <w:p w14:paraId="70249BB1" w14:textId="3AD49473" w:rsidR="00242EEE" w:rsidRPr="005865B6" w:rsidRDefault="00927B7F" w:rsidP="00312B5D">
      <w:pPr>
        <w:pStyle w:val="Standard"/>
        <w:jc w:val="both"/>
        <w:rPr>
          <w:b/>
        </w:rPr>
      </w:pPr>
      <w:r w:rsidRPr="005865B6">
        <w:rPr>
          <w:bCs/>
        </w:rPr>
        <w:t>(AOP 360)</w:t>
      </w:r>
      <w:r w:rsidR="00242EEE" w:rsidRPr="005865B6">
        <w:t xml:space="preserve"> rashodi za poslovne objekte u iznosu od 1.100.61</w:t>
      </w:r>
      <w:r w:rsidR="00A836A4" w:rsidRPr="005865B6">
        <w:t>8</w:t>
      </w:r>
      <w:r w:rsidR="00242EEE" w:rsidRPr="005865B6">
        <w:t xml:space="preserve"> kn odnose se na </w:t>
      </w:r>
      <w:r w:rsidR="004F4D0E" w:rsidRPr="005865B6">
        <w:t xml:space="preserve">rashode za </w:t>
      </w:r>
      <w:r w:rsidR="00242EEE" w:rsidRPr="005865B6">
        <w:t>radove na zgradi  Osnovne škole Veliki Bukovec.</w:t>
      </w:r>
    </w:p>
    <w:p w14:paraId="273A8E96" w14:textId="5CE8531D" w:rsidR="00927B7F" w:rsidRPr="005865B6" w:rsidRDefault="00242EEE" w:rsidP="00943C73">
      <w:pPr>
        <w:widowControl/>
        <w:tabs>
          <w:tab w:val="left" w:pos="720"/>
        </w:tabs>
        <w:jc w:val="both"/>
        <w:rPr>
          <w:rFonts w:eastAsia="Times New Roman" w:cs="Times New Roman"/>
          <w:kern w:val="0"/>
          <w:lang w:eastAsia="ar-SA"/>
        </w:rPr>
      </w:pPr>
      <w:r w:rsidRPr="005865B6">
        <w:rPr>
          <w:bCs/>
        </w:rPr>
        <w:t>(AOP 361)</w:t>
      </w:r>
      <w:r w:rsidR="002B53A5" w:rsidRPr="005865B6">
        <w:rPr>
          <w:bCs/>
        </w:rPr>
        <w:t xml:space="preserve"> rashodi u iznosu od</w:t>
      </w:r>
      <w:r w:rsidR="00943C73" w:rsidRPr="005865B6">
        <w:rPr>
          <w:bCs/>
        </w:rPr>
        <w:t xml:space="preserve"> </w:t>
      </w:r>
      <w:r w:rsidR="006539EF" w:rsidRPr="005865B6">
        <w:rPr>
          <w:bCs/>
        </w:rPr>
        <w:t xml:space="preserve">2.256.044 </w:t>
      </w:r>
      <w:r w:rsidR="002B53A5" w:rsidRPr="005865B6">
        <w:rPr>
          <w:bCs/>
        </w:rPr>
        <w:t xml:space="preserve">kn odnose se na rashode za most – Plitvica u </w:t>
      </w:r>
      <w:proofErr w:type="spellStart"/>
      <w:r w:rsidR="002B53A5" w:rsidRPr="005865B6">
        <w:rPr>
          <w:bCs/>
        </w:rPr>
        <w:t>Dubovici</w:t>
      </w:r>
      <w:proofErr w:type="spellEnd"/>
      <w:r w:rsidR="005C6FB0" w:rsidRPr="005865B6">
        <w:rPr>
          <w:bCs/>
        </w:rPr>
        <w:t xml:space="preserve"> </w:t>
      </w:r>
      <w:r w:rsidR="006539EF" w:rsidRPr="005865B6">
        <w:rPr>
          <w:bCs/>
        </w:rPr>
        <w:t xml:space="preserve">u iznosu 1.998.459 kn </w:t>
      </w:r>
      <w:r w:rsidR="005C6FB0" w:rsidRPr="005865B6">
        <w:rPr>
          <w:bCs/>
        </w:rPr>
        <w:t xml:space="preserve">i rashodi u iznosu </w:t>
      </w:r>
      <w:r w:rsidR="00B3154D" w:rsidRPr="005865B6">
        <w:rPr>
          <w:bCs/>
        </w:rPr>
        <w:t>257.585</w:t>
      </w:r>
      <w:r w:rsidR="005C6FB0" w:rsidRPr="005865B6">
        <w:rPr>
          <w:bCs/>
        </w:rPr>
        <w:t xml:space="preserve"> kn za rekonstrukciju raskrižja Dravske ulice i ulice Franje Sovića</w:t>
      </w:r>
      <w:r w:rsidR="00137E41">
        <w:rPr>
          <w:bCs/>
        </w:rPr>
        <w:t xml:space="preserve"> u Velikom Bukovcu.</w:t>
      </w:r>
    </w:p>
    <w:p w14:paraId="2DB841C1" w14:textId="711C8A5D" w:rsidR="00927B7F" w:rsidRPr="005865B6" w:rsidRDefault="004425C9" w:rsidP="00B17FFD">
      <w:pPr>
        <w:pStyle w:val="Standard"/>
        <w:jc w:val="both"/>
        <w:rPr>
          <w:bCs/>
        </w:rPr>
      </w:pPr>
      <w:r w:rsidRPr="005865B6">
        <w:rPr>
          <w:bCs/>
        </w:rPr>
        <w:t xml:space="preserve">(AOP 362) </w:t>
      </w:r>
      <w:r w:rsidR="00787EED" w:rsidRPr="005865B6">
        <w:rPr>
          <w:bCs/>
        </w:rPr>
        <w:t>ostali građevinski objekti</w:t>
      </w:r>
      <w:r w:rsidR="005C6FB0" w:rsidRPr="005865B6">
        <w:rPr>
          <w:bCs/>
        </w:rPr>
        <w:t xml:space="preserve"> u iznosu od 21.200 kn a </w:t>
      </w:r>
      <w:r w:rsidR="00787EED" w:rsidRPr="005865B6">
        <w:rPr>
          <w:bCs/>
        </w:rPr>
        <w:t xml:space="preserve"> odnose se na rashode za</w:t>
      </w:r>
      <w:r w:rsidR="000205BC" w:rsidRPr="005865B6">
        <w:rPr>
          <w:bCs/>
        </w:rPr>
        <w:t xml:space="preserve"> izgradnju</w:t>
      </w:r>
      <w:r w:rsidR="00787EED" w:rsidRPr="005865B6">
        <w:rPr>
          <w:bCs/>
        </w:rPr>
        <w:t xml:space="preserve"> ograd</w:t>
      </w:r>
      <w:r w:rsidR="000205BC" w:rsidRPr="005865B6">
        <w:rPr>
          <w:bCs/>
        </w:rPr>
        <w:t>e</w:t>
      </w:r>
      <w:r w:rsidR="00787EED" w:rsidRPr="005865B6">
        <w:rPr>
          <w:bCs/>
        </w:rPr>
        <w:t xml:space="preserve"> </w:t>
      </w:r>
      <w:r w:rsidR="000205BC" w:rsidRPr="005865B6">
        <w:rPr>
          <w:bCs/>
        </w:rPr>
        <w:t>uz</w:t>
      </w:r>
      <w:r w:rsidR="00787EED" w:rsidRPr="005865B6">
        <w:rPr>
          <w:bCs/>
        </w:rPr>
        <w:t xml:space="preserve"> dječji vrtić </w:t>
      </w:r>
      <w:r w:rsidR="000205BC" w:rsidRPr="005865B6">
        <w:rPr>
          <w:bCs/>
        </w:rPr>
        <w:t xml:space="preserve">na </w:t>
      </w:r>
      <w:r w:rsidR="00787EED" w:rsidRPr="005865B6">
        <w:rPr>
          <w:bCs/>
        </w:rPr>
        <w:t>Veli</w:t>
      </w:r>
      <w:r w:rsidR="000205BC" w:rsidRPr="005865B6">
        <w:rPr>
          <w:bCs/>
        </w:rPr>
        <w:t>kom</w:t>
      </w:r>
      <w:r w:rsidR="00787EED" w:rsidRPr="005865B6">
        <w:rPr>
          <w:bCs/>
        </w:rPr>
        <w:t xml:space="preserve"> Bukov</w:t>
      </w:r>
      <w:r w:rsidR="000205BC" w:rsidRPr="005865B6">
        <w:rPr>
          <w:bCs/>
        </w:rPr>
        <w:t>cu.</w:t>
      </w:r>
    </w:p>
    <w:p w14:paraId="06D86A79" w14:textId="37795FD3" w:rsidR="00EE427E" w:rsidRPr="005865B6" w:rsidRDefault="00EE427E" w:rsidP="00B17FFD">
      <w:pPr>
        <w:pStyle w:val="Standard"/>
        <w:jc w:val="both"/>
        <w:rPr>
          <w:bCs/>
        </w:rPr>
      </w:pPr>
    </w:p>
    <w:p w14:paraId="465E0083" w14:textId="7FD67FEE" w:rsidR="00EE427E" w:rsidRPr="005865B6" w:rsidRDefault="00787EED" w:rsidP="00B17FFD">
      <w:pPr>
        <w:pStyle w:val="Standard"/>
        <w:jc w:val="both"/>
        <w:rPr>
          <w:b/>
        </w:rPr>
      </w:pPr>
      <w:r w:rsidRPr="005865B6">
        <w:rPr>
          <w:b/>
        </w:rPr>
        <w:t xml:space="preserve">Unutar podskupine postrojenja i oprema (AOP 363) odstupanje bilježe: </w:t>
      </w:r>
    </w:p>
    <w:p w14:paraId="1313E05F" w14:textId="10BF4728" w:rsidR="000445B1" w:rsidRPr="005865B6" w:rsidRDefault="000445B1" w:rsidP="00B17FFD">
      <w:pPr>
        <w:pStyle w:val="Standard"/>
        <w:jc w:val="both"/>
        <w:rPr>
          <w:bCs/>
        </w:rPr>
      </w:pPr>
      <w:r w:rsidRPr="005865B6">
        <w:rPr>
          <w:bCs/>
        </w:rPr>
        <w:t>(AOP 36</w:t>
      </w:r>
      <w:r w:rsidR="00885A8A" w:rsidRPr="005865B6">
        <w:rPr>
          <w:bCs/>
        </w:rPr>
        <w:t>4</w:t>
      </w:r>
      <w:r w:rsidRPr="005865B6">
        <w:rPr>
          <w:bCs/>
        </w:rPr>
        <w:t xml:space="preserve">) </w:t>
      </w:r>
      <w:r w:rsidR="00885A8A" w:rsidRPr="005865B6">
        <w:rPr>
          <w:bCs/>
        </w:rPr>
        <w:t xml:space="preserve">u izvještajnom razdoblju ove godine nije bilo </w:t>
      </w:r>
      <w:r w:rsidRPr="005865B6">
        <w:rPr>
          <w:bCs/>
        </w:rPr>
        <w:t>rashod</w:t>
      </w:r>
      <w:r w:rsidR="00885A8A" w:rsidRPr="005865B6">
        <w:rPr>
          <w:bCs/>
        </w:rPr>
        <w:t>a</w:t>
      </w:r>
      <w:r w:rsidRPr="005865B6">
        <w:rPr>
          <w:bCs/>
        </w:rPr>
        <w:t xml:space="preserve"> za </w:t>
      </w:r>
      <w:r w:rsidR="00885A8A" w:rsidRPr="005865B6">
        <w:rPr>
          <w:bCs/>
        </w:rPr>
        <w:t>uredsku opremu i namještaj.</w:t>
      </w:r>
    </w:p>
    <w:p w14:paraId="0AB03FDA" w14:textId="4F4EB8E5" w:rsidR="00F9036A" w:rsidRPr="005865B6" w:rsidRDefault="005D4869" w:rsidP="00EE7A9F">
      <w:pPr>
        <w:tabs>
          <w:tab w:val="left" w:pos="360"/>
        </w:tabs>
        <w:jc w:val="both"/>
      </w:pPr>
      <w:r w:rsidRPr="005865B6">
        <w:rPr>
          <w:sz w:val="26"/>
          <w:szCs w:val="26"/>
        </w:rPr>
        <w:t>(</w:t>
      </w:r>
      <w:r w:rsidRPr="005865B6">
        <w:t>AOP 3</w:t>
      </w:r>
      <w:r w:rsidR="00F9036A" w:rsidRPr="005865B6">
        <w:t>65</w:t>
      </w:r>
      <w:r w:rsidRPr="005865B6">
        <w:t xml:space="preserve">) rashodi za </w:t>
      </w:r>
      <w:r w:rsidR="00F9036A" w:rsidRPr="005865B6">
        <w:t>komunikacijsku opremu izvršeni su u iznosu 1</w:t>
      </w:r>
      <w:r w:rsidR="00787EED" w:rsidRPr="005865B6">
        <w:t>44.002</w:t>
      </w:r>
      <w:r w:rsidR="00F9036A" w:rsidRPr="005865B6">
        <w:t xml:space="preserve"> kn.</w:t>
      </w:r>
    </w:p>
    <w:p w14:paraId="1D6B8B97" w14:textId="77665879" w:rsidR="00885A8A" w:rsidRPr="005865B6" w:rsidRDefault="00885A8A" w:rsidP="00EE7A9F">
      <w:pPr>
        <w:tabs>
          <w:tab w:val="left" w:pos="360"/>
        </w:tabs>
        <w:jc w:val="both"/>
      </w:pPr>
      <w:r w:rsidRPr="005865B6">
        <w:t xml:space="preserve">Odnose se na rashode za instalaciju i implementaciju </w:t>
      </w:r>
      <w:proofErr w:type="spellStart"/>
      <w:r w:rsidRPr="005865B6">
        <w:t>WiFiEU</w:t>
      </w:r>
      <w:proofErr w:type="spellEnd"/>
      <w:r w:rsidRPr="005865B6">
        <w:t xml:space="preserve"> mreže</w:t>
      </w:r>
      <w:r w:rsidR="00735180" w:rsidRPr="005865B6">
        <w:t>,</w:t>
      </w:r>
      <w:r w:rsidRPr="005865B6">
        <w:t xml:space="preserve"> nabavu </w:t>
      </w:r>
      <w:proofErr w:type="spellStart"/>
      <w:r w:rsidRPr="005865B6">
        <w:t>rutera</w:t>
      </w:r>
      <w:proofErr w:type="spellEnd"/>
      <w:r w:rsidR="00735180" w:rsidRPr="005865B6">
        <w:t>, video-nadzora na groblju u Velikom Bukovcu i nabavu mobitela.</w:t>
      </w:r>
    </w:p>
    <w:p w14:paraId="5285F0E7" w14:textId="133B91F5" w:rsidR="00FB719C" w:rsidRPr="005865B6" w:rsidRDefault="00FB719C" w:rsidP="00EE7A9F">
      <w:pPr>
        <w:tabs>
          <w:tab w:val="left" w:pos="360"/>
        </w:tabs>
        <w:jc w:val="both"/>
      </w:pPr>
      <w:r w:rsidRPr="005865B6">
        <w:t>(AOP 368) rashodi za instrumente , uređaje i strojeve prošle godine izvršeni su u iznosu 3.200 kn. U izvještajnom razdoblju ove godine nije bilo rashoda s iste osnove.</w:t>
      </w:r>
    </w:p>
    <w:p w14:paraId="7EFC831D" w14:textId="44DD4A3A" w:rsidR="002062CB" w:rsidRPr="005865B6" w:rsidRDefault="002062CB" w:rsidP="00EE7A9F">
      <w:pPr>
        <w:tabs>
          <w:tab w:val="left" w:pos="360"/>
        </w:tabs>
        <w:jc w:val="both"/>
      </w:pPr>
      <w:r w:rsidRPr="005865B6">
        <w:t>(AOP 3</w:t>
      </w:r>
      <w:r w:rsidR="00C45CAA" w:rsidRPr="005865B6">
        <w:t>70</w:t>
      </w:r>
      <w:r w:rsidRPr="005865B6">
        <w:t xml:space="preserve">) rashodi za </w:t>
      </w:r>
      <w:r w:rsidR="00C45CAA" w:rsidRPr="005865B6">
        <w:t xml:space="preserve">uređaje, strojeve i opremu za ostale namjene izvršeni su u iznosu </w:t>
      </w:r>
      <w:r w:rsidR="00FB719C" w:rsidRPr="005865B6">
        <w:t>40.645</w:t>
      </w:r>
      <w:r w:rsidR="00C45CAA" w:rsidRPr="005865B6">
        <w:t xml:space="preserve"> </w:t>
      </w:r>
      <w:r w:rsidR="00B4572B" w:rsidRPr="005865B6">
        <w:t xml:space="preserve"> kn ili </w:t>
      </w:r>
      <w:r w:rsidR="00FB719C" w:rsidRPr="005865B6">
        <w:t>24,9</w:t>
      </w:r>
      <w:r w:rsidR="00B4572B" w:rsidRPr="005865B6">
        <w:t xml:space="preserve"> %</w:t>
      </w:r>
      <w:r w:rsidR="00775D04" w:rsidRPr="005865B6">
        <w:t xml:space="preserve"> radi smanjene nabave u izvještajnom razdoblju</w:t>
      </w:r>
      <w:r w:rsidR="004935F2" w:rsidRPr="005865B6">
        <w:t xml:space="preserve"> ove godine.</w:t>
      </w:r>
    </w:p>
    <w:p w14:paraId="05AA6102" w14:textId="77777777" w:rsidR="00C45CAA" w:rsidRPr="005865B6" w:rsidRDefault="00C45CAA" w:rsidP="00F13DA5">
      <w:pPr>
        <w:pStyle w:val="Standard"/>
        <w:jc w:val="both"/>
        <w:rPr>
          <w:b/>
        </w:rPr>
      </w:pPr>
    </w:p>
    <w:p w14:paraId="5B73990A" w14:textId="5CA07D6E" w:rsidR="00166EE3" w:rsidRPr="005865B6" w:rsidRDefault="00166EE3" w:rsidP="00166EE3">
      <w:pPr>
        <w:rPr>
          <w:b/>
          <w:bCs/>
        </w:rPr>
      </w:pPr>
      <w:r w:rsidRPr="005865B6">
        <w:rPr>
          <w:b/>
          <w:bCs/>
        </w:rPr>
        <w:t>Unutar podskupine prijevozna sredstva (AOP 3</w:t>
      </w:r>
      <w:r w:rsidR="00C45CAA" w:rsidRPr="005865B6">
        <w:rPr>
          <w:b/>
          <w:bCs/>
        </w:rPr>
        <w:t>72</w:t>
      </w:r>
      <w:r w:rsidRPr="005865B6">
        <w:rPr>
          <w:b/>
          <w:bCs/>
        </w:rPr>
        <w:t>) odstupanje bilježi:</w:t>
      </w:r>
    </w:p>
    <w:p w14:paraId="5E79DBA9" w14:textId="1E419DED" w:rsidR="00C43A0E" w:rsidRPr="005865B6" w:rsidRDefault="00166EE3" w:rsidP="00C45CAA">
      <w:pPr>
        <w:tabs>
          <w:tab w:val="left" w:pos="360"/>
        </w:tabs>
        <w:jc w:val="both"/>
      </w:pPr>
      <w:r w:rsidRPr="005865B6">
        <w:t>(AOP 37</w:t>
      </w:r>
      <w:r w:rsidR="006239A6" w:rsidRPr="005865B6">
        <w:t>3</w:t>
      </w:r>
      <w:r w:rsidR="001E4C89" w:rsidRPr="005865B6">
        <w:t xml:space="preserve">) prijevozna sredstva u cestovnom prometu u iznosu od </w:t>
      </w:r>
      <w:r w:rsidR="00C45CAA" w:rsidRPr="005865B6">
        <w:t>4.200</w:t>
      </w:r>
      <w:r w:rsidR="00D267EC" w:rsidRPr="005865B6">
        <w:t xml:space="preserve"> kn </w:t>
      </w:r>
      <w:r w:rsidR="00C43A0E" w:rsidRPr="005865B6">
        <w:t xml:space="preserve"> odnosi se na nabavu </w:t>
      </w:r>
    </w:p>
    <w:p w14:paraId="2A69C548" w14:textId="7EDF6877" w:rsidR="00371D2A" w:rsidRPr="005865B6" w:rsidRDefault="00B73D3D" w:rsidP="00C45CAA">
      <w:pPr>
        <w:tabs>
          <w:tab w:val="left" w:pos="360"/>
        </w:tabs>
        <w:jc w:val="both"/>
      </w:pPr>
      <w:r w:rsidRPr="005865B6">
        <w:t>prikolice za kosilicu.</w:t>
      </w:r>
    </w:p>
    <w:p w14:paraId="03ECCB39" w14:textId="77777777" w:rsidR="002604BD" w:rsidRPr="005865B6" w:rsidRDefault="002604BD" w:rsidP="002604BD">
      <w:pPr>
        <w:widowControl/>
        <w:autoSpaceDN/>
        <w:jc w:val="both"/>
        <w:textAlignment w:val="auto"/>
        <w:rPr>
          <w:rFonts w:ascii="Arial" w:eastAsia="Times New Roman" w:hAnsi="Arial" w:cs="Arial"/>
          <w:bCs/>
          <w:kern w:val="0"/>
          <w:lang w:eastAsia="ar-SA"/>
        </w:rPr>
      </w:pP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r w:rsidRPr="005865B6">
        <w:rPr>
          <w:rFonts w:ascii="Arial" w:eastAsia="Times New Roman" w:hAnsi="Arial" w:cs="Arial"/>
          <w:bCs/>
          <w:kern w:val="0"/>
          <w:lang w:eastAsia="ar-SA"/>
        </w:rPr>
        <w:tab/>
      </w:r>
    </w:p>
    <w:p w14:paraId="2E3D019B" w14:textId="6A3E9B79" w:rsidR="00230C38" w:rsidRPr="005865B6" w:rsidRDefault="00230C38" w:rsidP="00166EE3">
      <w:pPr>
        <w:rPr>
          <w:b/>
          <w:bCs/>
        </w:rPr>
      </w:pPr>
      <w:r w:rsidRPr="005865B6">
        <w:rPr>
          <w:b/>
          <w:bCs/>
        </w:rPr>
        <w:t>Unutar podskupine nematerijalna proizvedena imovina (AOP 38</w:t>
      </w:r>
      <w:r w:rsidR="002A5464" w:rsidRPr="005865B6">
        <w:rPr>
          <w:b/>
          <w:bCs/>
        </w:rPr>
        <w:t>5</w:t>
      </w:r>
      <w:r w:rsidRPr="005865B6">
        <w:rPr>
          <w:b/>
          <w:bCs/>
        </w:rPr>
        <w:t>) odstupanje bilježi:</w:t>
      </w:r>
    </w:p>
    <w:p w14:paraId="6093CC77" w14:textId="54F3189B" w:rsidR="00FB719C" w:rsidRPr="005865B6" w:rsidRDefault="00FB719C" w:rsidP="007E3C0E">
      <w:pPr>
        <w:jc w:val="both"/>
      </w:pPr>
      <w:r w:rsidRPr="005865B6">
        <w:t xml:space="preserve">(AOP 387) ulaganje u računalne programe </w:t>
      </w:r>
      <w:r w:rsidR="00A121B7" w:rsidRPr="005865B6">
        <w:t>u iznosu od 17.888 kn odnosi se na nabavu Aplikacije Transparentnost.</w:t>
      </w:r>
    </w:p>
    <w:p w14:paraId="0FCE7612" w14:textId="1724245D" w:rsidR="00FC3D22" w:rsidRPr="005865B6" w:rsidRDefault="00230C38" w:rsidP="007E3C0E">
      <w:pPr>
        <w:jc w:val="both"/>
      </w:pPr>
      <w:r w:rsidRPr="005865B6">
        <w:t>(AOP 38</w:t>
      </w:r>
      <w:r w:rsidR="002A5464" w:rsidRPr="005865B6">
        <w:t>8</w:t>
      </w:r>
      <w:r w:rsidRPr="005865B6">
        <w:t xml:space="preserve">) rashodi za umjetnička, literarna i znanstvena djela u iznosu od </w:t>
      </w:r>
      <w:r w:rsidR="00FB719C" w:rsidRPr="005865B6">
        <w:t>112.500</w:t>
      </w:r>
      <w:r w:rsidRPr="005865B6">
        <w:t xml:space="preserve"> kn a odnos</w:t>
      </w:r>
      <w:r w:rsidR="002A5464" w:rsidRPr="005865B6">
        <w:t>e</w:t>
      </w:r>
      <w:r w:rsidRPr="005865B6">
        <w:t xml:space="preserve"> se na </w:t>
      </w:r>
      <w:r w:rsidR="009C737D" w:rsidRPr="005865B6">
        <w:t>rashode za izradu dokumenta prostornog uređenja (prostornog plana općine)</w:t>
      </w:r>
      <w:r w:rsidR="002A5464" w:rsidRPr="005865B6">
        <w:t>.</w:t>
      </w:r>
    </w:p>
    <w:p w14:paraId="7E944FC6" w14:textId="77777777" w:rsidR="0052129D" w:rsidRPr="005865B6" w:rsidRDefault="0052129D" w:rsidP="00643A0A">
      <w:pPr>
        <w:jc w:val="center"/>
        <w:rPr>
          <w:b/>
          <w:bCs/>
        </w:rPr>
      </w:pPr>
    </w:p>
    <w:p w14:paraId="3710A2D7" w14:textId="77777777" w:rsidR="00524AB8" w:rsidRPr="005865B6" w:rsidRDefault="00524AB8" w:rsidP="00B43C8F">
      <w:pPr>
        <w:rPr>
          <w:b/>
          <w:bCs/>
        </w:rPr>
      </w:pPr>
    </w:p>
    <w:p w14:paraId="730CDB9E" w14:textId="77777777" w:rsidR="0026628B" w:rsidRPr="005865B6" w:rsidRDefault="0026628B" w:rsidP="0081008D">
      <w:pPr>
        <w:jc w:val="both"/>
        <w:rPr>
          <w:rFonts w:cs="Times New Roman"/>
          <w:bCs/>
        </w:rPr>
      </w:pPr>
    </w:p>
    <w:p w14:paraId="58084ACC" w14:textId="77777777" w:rsidR="00524AB8" w:rsidRPr="005865B6" w:rsidRDefault="00524AB8" w:rsidP="00524AB8">
      <w:pPr>
        <w:widowControl/>
        <w:jc w:val="center"/>
        <w:rPr>
          <w:rFonts w:eastAsia="Times New Roman" w:cs="Times New Roman"/>
          <w:b/>
          <w:bCs/>
          <w:kern w:val="0"/>
          <w:lang w:eastAsia="ar-SA"/>
        </w:rPr>
      </w:pPr>
    </w:p>
    <w:p w14:paraId="508966A0" w14:textId="77777777" w:rsidR="00B61961" w:rsidRDefault="00B61961" w:rsidP="00524AB8">
      <w:pPr>
        <w:widowControl/>
        <w:jc w:val="center"/>
        <w:rPr>
          <w:rFonts w:eastAsia="Times New Roman" w:cs="Times New Roman"/>
          <w:b/>
          <w:bCs/>
          <w:kern w:val="0"/>
          <w:lang w:eastAsia="ar-SA"/>
        </w:rPr>
      </w:pPr>
    </w:p>
    <w:p w14:paraId="38860AB3" w14:textId="77777777" w:rsidR="00B61961" w:rsidRDefault="00B61961" w:rsidP="00524AB8">
      <w:pPr>
        <w:widowControl/>
        <w:jc w:val="center"/>
        <w:rPr>
          <w:rFonts w:eastAsia="Times New Roman" w:cs="Times New Roman"/>
          <w:b/>
          <w:bCs/>
          <w:kern w:val="0"/>
          <w:lang w:eastAsia="ar-SA"/>
        </w:rPr>
      </w:pPr>
    </w:p>
    <w:p w14:paraId="28CDCBAD" w14:textId="77777777" w:rsidR="00B61961" w:rsidRDefault="00B61961" w:rsidP="00524AB8">
      <w:pPr>
        <w:widowControl/>
        <w:jc w:val="center"/>
        <w:rPr>
          <w:rFonts w:eastAsia="Times New Roman" w:cs="Times New Roman"/>
          <w:b/>
          <w:bCs/>
          <w:kern w:val="0"/>
          <w:lang w:eastAsia="ar-SA"/>
        </w:rPr>
      </w:pPr>
    </w:p>
    <w:p w14:paraId="23ECC6F4" w14:textId="77777777" w:rsidR="00B61961" w:rsidRDefault="00B61961" w:rsidP="00524AB8">
      <w:pPr>
        <w:widowControl/>
        <w:jc w:val="center"/>
        <w:rPr>
          <w:rFonts w:eastAsia="Times New Roman" w:cs="Times New Roman"/>
          <w:b/>
          <w:bCs/>
          <w:kern w:val="0"/>
          <w:lang w:eastAsia="ar-SA"/>
        </w:rPr>
      </w:pPr>
    </w:p>
    <w:p w14:paraId="0A272EEF" w14:textId="77777777" w:rsidR="00B61961" w:rsidRDefault="00B61961" w:rsidP="00524AB8">
      <w:pPr>
        <w:widowControl/>
        <w:jc w:val="center"/>
        <w:rPr>
          <w:rFonts w:eastAsia="Times New Roman" w:cs="Times New Roman"/>
          <w:b/>
          <w:bCs/>
          <w:kern w:val="0"/>
          <w:lang w:eastAsia="ar-SA"/>
        </w:rPr>
      </w:pPr>
    </w:p>
    <w:p w14:paraId="0DD88C48" w14:textId="77777777" w:rsidR="00E562CF" w:rsidRDefault="00E562CF" w:rsidP="00524AB8">
      <w:pPr>
        <w:widowControl/>
        <w:jc w:val="center"/>
        <w:rPr>
          <w:rFonts w:eastAsia="Times New Roman" w:cs="Times New Roman"/>
          <w:b/>
          <w:bCs/>
          <w:kern w:val="0"/>
          <w:lang w:eastAsia="ar-SA"/>
        </w:rPr>
      </w:pPr>
    </w:p>
    <w:p w14:paraId="20C0177C" w14:textId="77777777" w:rsidR="00E562CF" w:rsidRDefault="00E562CF" w:rsidP="00524AB8">
      <w:pPr>
        <w:widowControl/>
        <w:jc w:val="center"/>
        <w:rPr>
          <w:rFonts w:eastAsia="Times New Roman" w:cs="Times New Roman"/>
          <w:b/>
          <w:bCs/>
          <w:kern w:val="0"/>
          <w:lang w:eastAsia="ar-SA"/>
        </w:rPr>
      </w:pPr>
    </w:p>
    <w:p w14:paraId="4C796C27" w14:textId="77777777" w:rsidR="00E562CF" w:rsidRDefault="00E562CF" w:rsidP="00524AB8">
      <w:pPr>
        <w:widowControl/>
        <w:jc w:val="center"/>
        <w:rPr>
          <w:rFonts w:eastAsia="Times New Roman" w:cs="Times New Roman"/>
          <w:b/>
          <w:bCs/>
          <w:kern w:val="0"/>
          <w:lang w:eastAsia="ar-SA"/>
        </w:rPr>
      </w:pPr>
    </w:p>
    <w:p w14:paraId="799DC82F" w14:textId="77777777" w:rsidR="00E562CF" w:rsidRDefault="00E562CF" w:rsidP="00524AB8">
      <w:pPr>
        <w:widowControl/>
        <w:jc w:val="center"/>
        <w:rPr>
          <w:rFonts w:eastAsia="Times New Roman" w:cs="Times New Roman"/>
          <w:b/>
          <w:bCs/>
          <w:kern w:val="0"/>
          <w:lang w:eastAsia="ar-SA"/>
        </w:rPr>
      </w:pPr>
    </w:p>
    <w:p w14:paraId="193B829E" w14:textId="77777777" w:rsidR="00E562CF" w:rsidRDefault="00E562CF" w:rsidP="00524AB8">
      <w:pPr>
        <w:widowControl/>
        <w:jc w:val="center"/>
        <w:rPr>
          <w:rFonts w:eastAsia="Times New Roman" w:cs="Times New Roman"/>
          <w:b/>
          <w:bCs/>
          <w:kern w:val="0"/>
          <w:lang w:eastAsia="ar-SA"/>
        </w:rPr>
      </w:pPr>
    </w:p>
    <w:p w14:paraId="2F83E468" w14:textId="77777777" w:rsidR="00CF341E" w:rsidRDefault="00CF341E" w:rsidP="00524AB8">
      <w:pPr>
        <w:widowControl/>
        <w:jc w:val="center"/>
        <w:rPr>
          <w:rFonts w:eastAsia="Times New Roman" w:cs="Times New Roman"/>
          <w:b/>
          <w:bCs/>
          <w:kern w:val="0"/>
          <w:lang w:eastAsia="ar-SA"/>
        </w:rPr>
      </w:pPr>
    </w:p>
    <w:p w14:paraId="37BA95DC" w14:textId="3EB7E2C8" w:rsidR="00524AB8" w:rsidRPr="005865B6" w:rsidRDefault="00524AB8" w:rsidP="00524AB8">
      <w:pPr>
        <w:widowControl/>
        <w:jc w:val="center"/>
        <w:rPr>
          <w:rFonts w:eastAsia="Times New Roman" w:cs="Times New Roman"/>
          <w:b/>
          <w:bCs/>
          <w:kern w:val="0"/>
          <w:lang w:eastAsia="ar-SA"/>
        </w:rPr>
      </w:pPr>
      <w:r w:rsidRPr="005865B6">
        <w:rPr>
          <w:rFonts w:eastAsia="Times New Roman" w:cs="Times New Roman"/>
          <w:b/>
          <w:bCs/>
          <w:kern w:val="0"/>
          <w:lang w:eastAsia="ar-SA"/>
        </w:rPr>
        <w:lastRenderedPageBreak/>
        <w:t>BILJEŠKE UZ BILANCU</w:t>
      </w:r>
    </w:p>
    <w:p w14:paraId="0C13E8CD" w14:textId="235CF34B" w:rsidR="00524AB8" w:rsidRPr="005865B6" w:rsidRDefault="00524AB8" w:rsidP="00524AB8">
      <w:pPr>
        <w:jc w:val="center"/>
        <w:rPr>
          <w:b/>
          <w:bCs/>
        </w:rPr>
      </w:pPr>
      <w:r w:rsidRPr="005865B6">
        <w:rPr>
          <w:b/>
          <w:bCs/>
        </w:rPr>
        <w:t>za razdoblje od 01.01.202</w:t>
      </w:r>
      <w:r w:rsidR="00F22DE6" w:rsidRPr="005865B6">
        <w:rPr>
          <w:b/>
          <w:bCs/>
        </w:rPr>
        <w:t>1</w:t>
      </w:r>
      <w:r w:rsidRPr="005865B6">
        <w:rPr>
          <w:b/>
          <w:bCs/>
        </w:rPr>
        <w:t>.  do 31.12.202</w:t>
      </w:r>
      <w:r w:rsidR="00F22DE6" w:rsidRPr="005865B6">
        <w:rPr>
          <w:b/>
          <w:bCs/>
        </w:rPr>
        <w:t>1</w:t>
      </w:r>
      <w:r w:rsidRPr="005865B6">
        <w:rPr>
          <w:b/>
          <w:bCs/>
        </w:rPr>
        <w:t>. godine</w:t>
      </w:r>
    </w:p>
    <w:p w14:paraId="72D6B12C" w14:textId="77777777" w:rsidR="00524AB8" w:rsidRPr="005865B6" w:rsidRDefault="00524AB8" w:rsidP="00524AB8">
      <w:pPr>
        <w:widowControl/>
        <w:jc w:val="center"/>
        <w:rPr>
          <w:rFonts w:eastAsia="Times New Roman" w:cs="Times New Roman"/>
          <w:kern w:val="0"/>
          <w:lang w:eastAsia="ar-SA"/>
        </w:rPr>
      </w:pPr>
    </w:p>
    <w:p w14:paraId="3157E7BC" w14:textId="77777777" w:rsidR="00524AB8" w:rsidRPr="005865B6" w:rsidRDefault="00524AB8" w:rsidP="00524AB8">
      <w:pPr>
        <w:widowControl/>
        <w:rPr>
          <w:rFonts w:eastAsia="Times New Roman" w:cs="Times New Roman"/>
          <w:kern w:val="0"/>
          <w:lang w:eastAsia="ar-SA"/>
        </w:rPr>
      </w:pPr>
    </w:p>
    <w:p w14:paraId="1461EFCA" w14:textId="77777777" w:rsidR="00524AB8" w:rsidRPr="005865B6" w:rsidRDefault="00524AB8" w:rsidP="00E562CF">
      <w:pPr>
        <w:keepNext/>
        <w:widowControl/>
        <w:tabs>
          <w:tab w:val="num" w:pos="0"/>
          <w:tab w:val="left" w:pos="360"/>
        </w:tabs>
        <w:jc w:val="both"/>
        <w:outlineLvl w:val="0"/>
        <w:rPr>
          <w:rFonts w:eastAsia="Times New Roman" w:cs="Times New Roman"/>
          <w:b/>
          <w:bCs/>
          <w:kern w:val="0"/>
          <w:sz w:val="26"/>
          <w:szCs w:val="26"/>
          <w:lang w:eastAsia="ar-SA"/>
        </w:rPr>
      </w:pPr>
      <w:r w:rsidRPr="005865B6">
        <w:rPr>
          <w:rFonts w:eastAsia="Times New Roman" w:cs="Times New Roman"/>
          <w:b/>
          <w:bCs/>
          <w:kern w:val="0"/>
          <w:sz w:val="26"/>
          <w:szCs w:val="26"/>
          <w:lang w:eastAsia="ar-SA"/>
        </w:rPr>
        <w:t>1. AOP 002 NEFINANCIJSKA IMOVINA</w:t>
      </w:r>
    </w:p>
    <w:p w14:paraId="75F7D4C5" w14:textId="77777777" w:rsidR="00E562CF" w:rsidRDefault="00E562CF" w:rsidP="00E562CF">
      <w:pPr>
        <w:widowControl/>
        <w:tabs>
          <w:tab w:val="left" w:pos="360"/>
        </w:tabs>
        <w:jc w:val="both"/>
        <w:rPr>
          <w:rFonts w:eastAsia="Times New Roman" w:cs="Times New Roman"/>
          <w:b/>
          <w:kern w:val="0"/>
          <w:sz w:val="26"/>
          <w:szCs w:val="26"/>
          <w:lang w:eastAsia="ar-SA"/>
        </w:rPr>
      </w:pPr>
    </w:p>
    <w:p w14:paraId="7CEB4652" w14:textId="67BDC33C" w:rsidR="00524AB8" w:rsidRPr="005865B6" w:rsidRDefault="00524AB8" w:rsidP="00E562CF">
      <w:pPr>
        <w:widowControl/>
        <w:tabs>
          <w:tab w:val="left" w:pos="360"/>
        </w:tabs>
        <w:jc w:val="both"/>
        <w:rPr>
          <w:rFonts w:eastAsia="Times New Roman" w:cs="Times New Roman"/>
          <w:kern w:val="0"/>
          <w:sz w:val="26"/>
          <w:szCs w:val="26"/>
          <w:lang w:eastAsia="ar-SA"/>
        </w:rPr>
      </w:pPr>
      <w:r w:rsidRPr="005865B6">
        <w:rPr>
          <w:rFonts w:eastAsia="Times New Roman" w:cs="Times New Roman"/>
          <w:b/>
          <w:kern w:val="0"/>
          <w:sz w:val="26"/>
          <w:szCs w:val="26"/>
          <w:lang w:eastAsia="ar-SA"/>
        </w:rPr>
        <w:t>AOP 011</w:t>
      </w:r>
      <w:r w:rsidRPr="005865B6">
        <w:rPr>
          <w:rFonts w:eastAsia="Times New Roman" w:cs="Times New Roman"/>
          <w:kern w:val="0"/>
          <w:sz w:val="26"/>
          <w:szCs w:val="26"/>
          <w:lang w:eastAsia="ar-SA"/>
        </w:rPr>
        <w:t xml:space="preserve"> – Ceste, željeznice i ostali prometni objekti</w:t>
      </w:r>
    </w:p>
    <w:p w14:paraId="68F5A5A2" w14:textId="77777777" w:rsidR="00524AB8" w:rsidRPr="005865B6" w:rsidRDefault="00524AB8" w:rsidP="00E562CF">
      <w:pPr>
        <w:widowControl/>
        <w:tabs>
          <w:tab w:val="left" w:pos="360"/>
        </w:tabs>
        <w:jc w:val="both"/>
        <w:rPr>
          <w:rFonts w:eastAsia="Times New Roman" w:cs="Times New Roman"/>
          <w:kern w:val="0"/>
          <w:sz w:val="26"/>
          <w:szCs w:val="26"/>
          <w:lang w:eastAsia="ar-SA"/>
        </w:rPr>
      </w:pPr>
      <w:r w:rsidRPr="005865B6">
        <w:rPr>
          <w:rFonts w:eastAsia="Times New Roman" w:cs="Times New Roman"/>
          <w:kern w:val="0"/>
          <w:sz w:val="26"/>
          <w:szCs w:val="26"/>
          <w:lang w:eastAsia="ar-SA"/>
        </w:rPr>
        <w:t>Račun 0213</w:t>
      </w:r>
    </w:p>
    <w:p w14:paraId="32E01CC8" w14:textId="59870EE5" w:rsidR="00524AB8" w:rsidRPr="005865B6" w:rsidRDefault="00524AB8" w:rsidP="00E562CF">
      <w:pPr>
        <w:widowControl/>
        <w:tabs>
          <w:tab w:val="left" w:pos="360"/>
        </w:tabs>
        <w:jc w:val="both"/>
        <w:rPr>
          <w:rFonts w:eastAsia="Times New Roman" w:cs="Times New Roman"/>
          <w:kern w:val="0"/>
          <w:sz w:val="26"/>
          <w:szCs w:val="26"/>
          <w:lang w:eastAsia="ar-SA"/>
        </w:rPr>
      </w:pPr>
      <w:r w:rsidRPr="005865B6">
        <w:rPr>
          <w:rFonts w:eastAsia="Times New Roman" w:cs="Times New Roman"/>
          <w:kern w:val="0"/>
          <w:sz w:val="26"/>
          <w:szCs w:val="26"/>
          <w:lang w:eastAsia="ar-SA"/>
        </w:rPr>
        <w:t>Stanje 01.01.202</w:t>
      </w:r>
      <w:r w:rsidR="002C5048" w:rsidRPr="005865B6">
        <w:rPr>
          <w:rFonts w:eastAsia="Times New Roman" w:cs="Times New Roman"/>
          <w:kern w:val="0"/>
          <w:sz w:val="26"/>
          <w:szCs w:val="26"/>
          <w:lang w:eastAsia="ar-SA"/>
        </w:rPr>
        <w:t>1</w:t>
      </w:r>
      <w:r w:rsidRPr="005865B6">
        <w:rPr>
          <w:rFonts w:eastAsia="Times New Roman" w:cs="Times New Roman"/>
          <w:kern w:val="0"/>
          <w:sz w:val="26"/>
          <w:szCs w:val="26"/>
          <w:lang w:eastAsia="ar-SA"/>
        </w:rPr>
        <w:t>.=3.9</w:t>
      </w:r>
      <w:r w:rsidR="002C5048" w:rsidRPr="005865B6">
        <w:rPr>
          <w:rFonts w:eastAsia="Times New Roman" w:cs="Times New Roman"/>
          <w:kern w:val="0"/>
          <w:sz w:val="26"/>
          <w:szCs w:val="26"/>
          <w:lang w:eastAsia="ar-SA"/>
        </w:rPr>
        <w:t>4</w:t>
      </w:r>
      <w:r w:rsidRPr="005865B6">
        <w:rPr>
          <w:rFonts w:eastAsia="Times New Roman" w:cs="Times New Roman"/>
          <w:kern w:val="0"/>
          <w:sz w:val="26"/>
          <w:szCs w:val="26"/>
          <w:lang w:eastAsia="ar-SA"/>
        </w:rPr>
        <w:t>1.</w:t>
      </w:r>
      <w:r w:rsidR="002C5048" w:rsidRPr="005865B6">
        <w:rPr>
          <w:rFonts w:eastAsia="Times New Roman" w:cs="Times New Roman"/>
          <w:kern w:val="0"/>
          <w:sz w:val="26"/>
          <w:szCs w:val="26"/>
          <w:lang w:eastAsia="ar-SA"/>
        </w:rPr>
        <w:t>624</w:t>
      </w:r>
      <w:r w:rsidRPr="005865B6">
        <w:rPr>
          <w:rFonts w:eastAsia="Times New Roman" w:cs="Times New Roman"/>
          <w:kern w:val="0"/>
          <w:sz w:val="26"/>
          <w:szCs w:val="26"/>
          <w:lang w:eastAsia="ar-SA"/>
        </w:rPr>
        <w:t xml:space="preserve"> kn</w:t>
      </w:r>
    </w:p>
    <w:p w14:paraId="5ABCF1D5" w14:textId="4533F3D9" w:rsidR="00524AB8" w:rsidRPr="005865B6" w:rsidRDefault="00524AB8" w:rsidP="00E562CF">
      <w:pPr>
        <w:widowControl/>
        <w:tabs>
          <w:tab w:val="left" w:pos="360"/>
        </w:tabs>
        <w:jc w:val="both"/>
        <w:rPr>
          <w:rFonts w:eastAsia="Times New Roman" w:cs="Times New Roman"/>
          <w:kern w:val="0"/>
          <w:sz w:val="26"/>
          <w:szCs w:val="26"/>
          <w:lang w:eastAsia="ar-SA"/>
        </w:rPr>
      </w:pPr>
      <w:r w:rsidRPr="005865B6">
        <w:rPr>
          <w:rFonts w:eastAsia="Times New Roman" w:cs="Times New Roman"/>
          <w:kern w:val="0"/>
          <w:sz w:val="26"/>
          <w:szCs w:val="26"/>
          <w:lang w:eastAsia="ar-SA"/>
        </w:rPr>
        <w:t>Stanje 31.12.202</w:t>
      </w:r>
      <w:r w:rsidR="002C5048" w:rsidRPr="005865B6">
        <w:rPr>
          <w:rFonts w:eastAsia="Times New Roman" w:cs="Times New Roman"/>
          <w:kern w:val="0"/>
          <w:sz w:val="26"/>
          <w:szCs w:val="26"/>
          <w:lang w:eastAsia="ar-SA"/>
        </w:rPr>
        <w:t>1</w:t>
      </w:r>
      <w:r w:rsidRPr="005865B6">
        <w:rPr>
          <w:rFonts w:eastAsia="Times New Roman" w:cs="Times New Roman"/>
          <w:kern w:val="0"/>
          <w:sz w:val="26"/>
          <w:szCs w:val="26"/>
          <w:lang w:eastAsia="ar-SA"/>
        </w:rPr>
        <w:t>.=</w:t>
      </w:r>
      <w:r w:rsidR="002C5048" w:rsidRPr="005865B6">
        <w:rPr>
          <w:rFonts w:eastAsia="Times New Roman" w:cs="Times New Roman"/>
          <w:kern w:val="0"/>
          <w:sz w:val="26"/>
          <w:szCs w:val="26"/>
          <w:lang w:eastAsia="ar-SA"/>
        </w:rPr>
        <w:t>4.199.209</w:t>
      </w:r>
      <w:r w:rsidRPr="005865B6">
        <w:rPr>
          <w:rFonts w:eastAsia="Times New Roman" w:cs="Times New Roman"/>
          <w:kern w:val="0"/>
          <w:sz w:val="26"/>
          <w:szCs w:val="26"/>
          <w:lang w:eastAsia="ar-SA"/>
        </w:rPr>
        <w:t xml:space="preserve"> kn</w:t>
      </w:r>
    </w:p>
    <w:p w14:paraId="2B613A11" w14:textId="4B87AB84" w:rsidR="00524AB8" w:rsidRPr="005865B6" w:rsidRDefault="002C5048" w:rsidP="00E562CF">
      <w:pPr>
        <w:widowControl/>
        <w:tabs>
          <w:tab w:val="left" w:pos="360"/>
        </w:tabs>
        <w:jc w:val="both"/>
        <w:rPr>
          <w:rFonts w:eastAsia="Times New Roman" w:cs="Times New Roman"/>
          <w:kern w:val="0"/>
          <w:sz w:val="26"/>
          <w:szCs w:val="26"/>
          <w:lang w:eastAsia="ar-SA"/>
        </w:rPr>
      </w:pPr>
      <w:bookmarkStart w:id="3" w:name="_Hlk33015135"/>
      <w:r w:rsidRPr="005865B6">
        <w:rPr>
          <w:rFonts w:eastAsia="Times New Roman" w:cs="Times New Roman"/>
          <w:kern w:val="0"/>
          <w:sz w:val="26"/>
          <w:szCs w:val="26"/>
          <w:lang w:eastAsia="ar-SA"/>
        </w:rPr>
        <w:t>Za rekonstrukciju raskrižja Dravske ulice i Ulice F. Sovića utrošeno je 257.585 kn</w:t>
      </w:r>
      <w:r w:rsidR="00471775" w:rsidRPr="005865B6">
        <w:rPr>
          <w:rFonts w:eastAsia="Times New Roman" w:cs="Times New Roman"/>
          <w:kern w:val="0"/>
          <w:sz w:val="26"/>
          <w:szCs w:val="26"/>
          <w:lang w:eastAsia="ar-SA"/>
        </w:rPr>
        <w:t>.</w:t>
      </w:r>
    </w:p>
    <w:p w14:paraId="35B2130B" w14:textId="1A380A1C" w:rsidR="002C5048" w:rsidRPr="005865B6" w:rsidRDefault="002C5048" w:rsidP="00524AB8">
      <w:pPr>
        <w:widowControl/>
        <w:tabs>
          <w:tab w:val="left" w:pos="360"/>
        </w:tabs>
        <w:ind w:left="360"/>
        <w:jc w:val="both"/>
        <w:rPr>
          <w:rFonts w:eastAsia="Times New Roman" w:cs="Times New Roman"/>
          <w:kern w:val="0"/>
          <w:sz w:val="26"/>
          <w:szCs w:val="26"/>
          <w:lang w:eastAsia="ar-SA"/>
        </w:rPr>
      </w:pPr>
    </w:p>
    <w:p w14:paraId="72E8A671" w14:textId="77777777" w:rsidR="002C5048" w:rsidRPr="005865B6" w:rsidRDefault="002C5048" w:rsidP="00524AB8">
      <w:pPr>
        <w:widowControl/>
        <w:tabs>
          <w:tab w:val="left" w:pos="360"/>
        </w:tabs>
        <w:ind w:left="360"/>
        <w:jc w:val="both"/>
        <w:rPr>
          <w:rFonts w:ascii="Arial" w:eastAsia="Times New Roman" w:hAnsi="Arial" w:cs="Arial"/>
          <w:kern w:val="0"/>
          <w:lang w:eastAsia="ar-SA"/>
        </w:rPr>
      </w:pPr>
    </w:p>
    <w:bookmarkEnd w:id="3"/>
    <w:p w14:paraId="4BFD79D0" w14:textId="77777777"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AOP 012</w:t>
      </w:r>
      <w:r w:rsidRPr="005865B6">
        <w:rPr>
          <w:rFonts w:eastAsia="Times New Roman" w:cs="Times New Roman"/>
          <w:kern w:val="0"/>
          <w:lang w:eastAsia="ar-SA"/>
        </w:rPr>
        <w:t xml:space="preserve"> – Ostali građevinski objekti</w:t>
      </w:r>
    </w:p>
    <w:p w14:paraId="56370005" w14:textId="77777777"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0214</w:t>
      </w:r>
    </w:p>
    <w:p w14:paraId="1708A965" w14:textId="74E5DAED"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876FA6" w:rsidRPr="005865B6">
        <w:rPr>
          <w:rFonts w:eastAsia="Times New Roman" w:cs="Times New Roman"/>
          <w:kern w:val="0"/>
          <w:lang w:eastAsia="ar-SA"/>
        </w:rPr>
        <w:t>1</w:t>
      </w:r>
      <w:r w:rsidRPr="005865B6">
        <w:rPr>
          <w:rFonts w:eastAsia="Times New Roman" w:cs="Times New Roman"/>
          <w:kern w:val="0"/>
          <w:lang w:eastAsia="ar-SA"/>
        </w:rPr>
        <w:t>. =2.</w:t>
      </w:r>
      <w:r w:rsidR="00876FA6" w:rsidRPr="005865B6">
        <w:rPr>
          <w:rFonts w:eastAsia="Times New Roman" w:cs="Times New Roman"/>
          <w:kern w:val="0"/>
          <w:lang w:eastAsia="ar-SA"/>
        </w:rPr>
        <w:t>784.875</w:t>
      </w:r>
      <w:r w:rsidRPr="005865B6">
        <w:rPr>
          <w:rFonts w:eastAsia="Times New Roman" w:cs="Times New Roman"/>
          <w:kern w:val="0"/>
          <w:lang w:eastAsia="ar-SA"/>
        </w:rPr>
        <w:t xml:space="preserve"> kn</w:t>
      </w:r>
    </w:p>
    <w:p w14:paraId="4257388B" w14:textId="1A706E09"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876FA6" w:rsidRPr="005865B6">
        <w:rPr>
          <w:rFonts w:eastAsia="Times New Roman" w:cs="Times New Roman"/>
          <w:kern w:val="0"/>
          <w:lang w:eastAsia="ar-SA"/>
        </w:rPr>
        <w:t>1</w:t>
      </w:r>
      <w:r w:rsidRPr="005865B6">
        <w:rPr>
          <w:rFonts w:eastAsia="Times New Roman" w:cs="Times New Roman"/>
          <w:kern w:val="0"/>
          <w:lang w:eastAsia="ar-SA"/>
        </w:rPr>
        <w:t>. =2.</w:t>
      </w:r>
      <w:r w:rsidR="00876FA6" w:rsidRPr="005865B6">
        <w:rPr>
          <w:rFonts w:eastAsia="Times New Roman" w:cs="Times New Roman"/>
          <w:kern w:val="0"/>
          <w:lang w:eastAsia="ar-SA"/>
        </w:rPr>
        <w:t>806</w:t>
      </w:r>
      <w:r w:rsidRPr="005865B6">
        <w:rPr>
          <w:rFonts w:eastAsia="Times New Roman" w:cs="Times New Roman"/>
          <w:kern w:val="0"/>
          <w:lang w:eastAsia="ar-SA"/>
        </w:rPr>
        <w:t>.</w:t>
      </w:r>
      <w:r w:rsidR="00876FA6" w:rsidRPr="005865B6">
        <w:rPr>
          <w:rFonts w:eastAsia="Times New Roman" w:cs="Times New Roman"/>
          <w:kern w:val="0"/>
          <w:lang w:eastAsia="ar-SA"/>
        </w:rPr>
        <w:t>075</w:t>
      </w:r>
      <w:r w:rsidRPr="005865B6">
        <w:rPr>
          <w:rFonts w:eastAsia="Times New Roman" w:cs="Times New Roman"/>
          <w:kern w:val="0"/>
          <w:lang w:eastAsia="ar-SA"/>
        </w:rPr>
        <w:t xml:space="preserve"> kn</w:t>
      </w:r>
    </w:p>
    <w:p w14:paraId="6B9F0934" w14:textId="35A712F2" w:rsidR="00471775" w:rsidRPr="005865B6" w:rsidRDefault="00471775"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Povećanje u iznosu od 21.200 kn odnosi se na</w:t>
      </w:r>
      <w:r w:rsidR="00941FE6" w:rsidRPr="005865B6">
        <w:rPr>
          <w:rFonts w:eastAsia="Times New Roman" w:cs="Times New Roman"/>
          <w:kern w:val="0"/>
          <w:lang w:eastAsia="ar-SA"/>
        </w:rPr>
        <w:t xml:space="preserve"> </w:t>
      </w:r>
      <w:r w:rsidR="00312429" w:rsidRPr="005865B6">
        <w:rPr>
          <w:rFonts w:eastAsia="Times New Roman" w:cs="Times New Roman"/>
          <w:kern w:val="0"/>
          <w:lang w:eastAsia="ar-SA"/>
        </w:rPr>
        <w:t xml:space="preserve">izgradnju </w:t>
      </w:r>
      <w:r w:rsidRPr="005865B6">
        <w:rPr>
          <w:rFonts w:eastAsia="Times New Roman" w:cs="Times New Roman"/>
          <w:kern w:val="0"/>
          <w:lang w:eastAsia="ar-SA"/>
        </w:rPr>
        <w:t>ograd</w:t>
      </w:r>
      <w:r w:rsidR="00312429" w:rsidRPr="005865B6">
        <w:rPr>
          <w:rFonts w:eastAsia="Times New Roman" w:cs="Times New Roman"/>
          <w:kern w:val="0"/>
          <w:lang w:eastAsia="ar-SA"/>
        </w:rPr>
        <w:t>e</w:t>
      </w:r>
      <w:r w:rsidRPr="005865B6">
        <w:rPr>
          <w:rFonts w:eastAsia="Times New Roman" w:cs="Times New Roman"/>
          <w:kern w:val="0"/>
          <w:lang w:eastAsia="ar-SA"/>
        </w:rPr>
        <w:t xml:space="preserve"> uz dječji vrtić u Velikom Bukovcu.</w:t>
      </w:r>
    </w:p>
    <w:p w14:paraId="7D3C77E3" w14:textId="77777777" w:rsidR="00524AB8" w:rsidRPr="005865B6" w:rsidRDefault="00524AB8" w:rsidP="00941FE6">
      <w:pPr>
        <w:widowControl/>
        <w:tabs>
          <w:tab w:val="left" w:pos="360"/>
        </w:tabs>
        <w:jc w:val="both"/>
        <w:rPr>
          <w:rFonts w:eastAsia="Times New Roman" w:cs="Times New Roman"/>
          <w:kern w:val="0"/>
          <w:lang w:eastAsia="ar-SA"/>
        </w:rPr>
      </w:pPr>
    </w:p>
    <w:p w14:paraId="660FB042" w14:textId="77777777" w:rsidR="00524AB8" w:rsidRPr="005865B6" w:rsidRDefault="00524AB8" w:rsidP="00524AB8">
      <w:pPr>
        <w:widowControl/>
        <w:tabs>
          <w:tab w:val="left" w:pos="360"/>
        </w:tabs>
        <w:ind w:left="360"/>
        <w:jc w:val="both"/>
        <w:rPr>
          <w:rFonts w:eastAsia="Times New Roman" w:cs="Times New Roman"/>
          <w:b/>
          <w:bCs/>
          <w:kern w:val="0"/>
          <w:lang w:eastAsia="ar-SA"/>
        </w:rPr>
      </w:pPr>
    </w:p>
    <w:p w14:paraId="02E9B1F1" w14:textId="5205977F"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AOP 01</w:t>
      </w:r>
      <w:r w:rsidR="00941FE6" w:rsidRPr="005865B6">
        <w:rPr>
          <w:rFonts w:eastAsia="Times New Roman" w:cs="Times New Roman"/>
          <w:b/>
          <w:bCs/>
          <w:kern w:val="0"/>
          <w:lang w:eastAsia="ar-SA"/>
        </w:rPr>
        <w:t>6</w:t>
      </w:r>
      <w:r w:rsidRPr="005865B6">
        <w:rPr>
          <w:rFonts w:eastAsia="Times New Roman" w:cs="Times New Roman"/>
          <w:kern w:val="0"/>
          <w:lang w:eastAsia="ar-SA"/>
        </w:rPr>
        <w:t xml:space="preserve"> </w:t>
      </w:r>
      <w:r w:rsidR="00941FE6" w:rsidRPr="005865B6">
        <w:rPr>
          <w:rFonts w:eastAsia="Times New Roman" w:cs="Times New Roman"/>
          <w:kern w:val="0"/>
          <w:lang w:eastAsia="ar-SA"/>
        </w:rPr>
        <w:t>– Komunikacijska oprema</w:t>
      </w:r>
    </w:p>
    <w:p w14:paraId="5A5C157C" w14:textId="54EBCBE9"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022</w:t>
      </w:r>
      <w:r w:rsidR="00941FE6" w:rsidRPr="005865B6">
        <w:rPr>
          <w:rFonts w:eastAsia="Times New Roman" w:cs="Times New Roman"/>
          <w:kern w:val="0"/>
          <w:lang w:eastAsia="ar-SA"/>
        </w:rPr>
        <w:t>2</w:t>
      </w:r>
    </w:p>
    <w:p w14:paraId="19B112F7" w14:textId="7E096C77"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941FE6" w:rsidRPr="005865B6">
        <w:rPr>
          <w:rFonts w:eastAsia="Times New Roman" w:cs="Times New Roman"/>
          <w:kern w:val="0"/>
          <w:lang w:eastAsia="ar-SA"/>
        </w:rPr>
        <w:t>1</w:t>
      </w:r>
      <w:r w:rsidRPr="005865B6">
        <w:rPr>
          <w:rFonts w:eastAsia="Times New Roman" w:cs="Times New Roman"/>
          <w:kern w:val="0"/>
          <w:lang w:eastAsia="ar-SA"/>
        </w:rPr>
        <w:t>. =</w:t>
      </w:r>
      <w:r w:rsidR="00941FE6" w:rsidRPr="005865B6">
        <w:rPr>
          <w:rFonts w:eastAsia="Times New Roman" w:cs="Times New Roman"/>
          <w:kern w:val="0"/>
          <w:lang w:eastAsia="ar-SA"/>
        </w:rPr>
        <w:t>35.520 kn</w:t>
      </w:r>
    </w:p>
    <w:p w14:paraId="39313AD7" w14:textId="602A7781" w:rsidR="00524AB8" w:rsidRPr="005865B6" w:rsidRDefault="00524AB8" w:rsidP="00E562CF">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941FE6" w:rsidRPr="005865B6">
        <w:rPr>
          <w:rFonts w:eastAsia="Times New Roman" w:cs="Times New Roman"/>
          <w:kern w:val="0"/>
          <w:lang w:eastAsia="ar-SA"/>
        </w:rPr>
        <w:t>1</w:t>
      </w:r>
      <w:r w:rsidRPr="005865B6">
        <w:rPr>
          <w:rFonts w:eastAsia="Times New Roman" w:cs="Times New Roman"/>
          <w:kern w:val="0"/>
          <w:lang w:eastAsia="ar-SA"/>
        </w:rPr>
        <w:t xml:space="preserve">. = </w:t>
      </w:r>
      <w:r w:rsidR="00941FE6" w:rsidRPr="005865B6">
        <w:rPr>
          <w:rFonts w:eastAsia="Times New Roman" w:cs="Times New Roman"/>
          <w:kern w:val="0"/>
          <w:lang w:eastAsia="ar-SA"/>
        </w:rPr>
        <w:t>176.114 kn</w:t>
      </w:r>
    </w:p>
    <w:p w14:paraId="61774935" w14:textId="5816C05B" w:rsidR="00941FE6" w:rsidRPr="005865B6" w:rsidRDefault="00941FE6" w:rsidP="00E562CF">
      <w:pPr>
        <w:tabs>
          <w:tab w:val="left" w:pos="360"/>
        </w:tabs>
        <w:jc w:val="both"/>
      </w:pPr>
      <w:r w:rsidRPr="005865B6">
        <w:t xml:space="preserve">Povećanje se </w:t>
      </w:r>
      <w:r w:rsidR="007900F1" w:rsidRPr="005865B6">
        <w:t>o</w:t>
      </w:r>
      <w:r w:rsidRPr="005865B6">
        <w:t>dnos</w:t>
      </w:r>
      <w:r w:rsidR="007900F1" w:rsidRPr="005865B6">
        <w:t>i</w:t>
      </w:r>
      <w:r w:rsidRPr="005865B6">
        <w:t xml:space="preserve"> se na rashode za instalaciju i implementaciju </w:t>
      </w:r>
      <w:proofErr w:type="spellStart"/>
      <w:r w:rsidRPr="005865B6">
        <w:t>WiFiEU</w:t>
      </w:r>
      <w:proofErr w:type="spellEnd"/>
      <w:r w:rsidRPr="005865B6">
        <w:t xml:space="preserve"> mreže u iznosu od</w:t>
      </w:r>
      <w:r w:rsidR="007900F1" w:rsidRPr="005865B6">
        <w:t xml:space="preserve"> 117.250 kn</w:t>
      </w:r>
      <w:r w:rsidRPr="005865B6">
        <w:t xml:space="preserve"> , nabavu </w:t>
      </w:r>
      <w:proofErr w:type="spellStart"/>
      <w:r w:rsidRPr="005865B6">
        <w:t>rutera</w:t>
      </w:r>
      <w:proofErr w:type="spellEnd"/>
      <w:r w:rsidRPr="005865B6">
        <w:t xml:space="preserve"> u iznosu od</w:t>
      </w:r>
      <w:r w:rsidR="007900F1" w:rsidRPr="005865B6">
        <w:t xml:space="preserve"> 1.20</w:t>
      </w:r>
      <w:r w:rsidR="00A71857" w:rsidRPr="005865B6">
        <w:t>3</w:t>
      </w:r>
      <w:r w:rsidR="007900F1" w:rsidRPr="005865B6">
        <w:t xml:space="preserve"> kn</w:t>
      </w:r>
      <w:r w:rsidRPr="005865B6">
        <w:t xml:space="preserve"> , video-nadzora na groblju u Velikom Bukovcu u iznosu od </w:t>
      </w:r>
      <w:r w:rsidR="007900F1" w:rsidRPr="005865B6">
        <w:t xml:space="preserve">20.874 kn </w:t>
      </w:r>
      <w:r w:rsidRPr="005865B6">
        <w:t>i nabavu mobitela u iznosu od</w:t>
      </w:r>
      <w:r w:rsidR="007900F1" w:rsidRPr="005865B6">
        <w:t xml:space="preserve"> 4.676 kn. Iz poslovnih knjiga isknjiženi su mobiteli nabavne vrijednosti 3.410 kn.</w:t>
      </w:r>
    </w:p>
    <w:p w14:paraId="6A8C9311" w14:textId="2DF2F0D5" w:rsidR="008F0DA1" w:rsidRPr="005865B6" w:rsidRDefault="008F0DA1" w:rsidP="00941FE6">
      <w:pPr>
        <w:tabs>
          <w:tab w:val="left" w:pos="360"/>
        </w:tabs>
        <w:jc w:val="both"/>
        <w:rPr>
          <w:b/>
          <w:bCs/>
        </w:rPr>
      </w:pPr>
    </w:p>
    <w:p w14:paraId="5C0DE64E" w14:textId="6BFF4623" w:rsidR="008F0DA1" w:rsidRPr="005865B6" w:rsidRDefault="008F0DA1" w:rsidP="00941FE6">
      <w:pPr>
        <w:tabs>
          <w:tab w:val="left" w:pos="360"/>
        </w:tabs>
        <w:jc w:val="both"/>
      </w:pPr>
      <w:r w:rsidRPr="005865B6">
        <w:rPr>
          <w:b/>
          <w:bCs/>
        </w:rPr>
        <w:t xml:space="preserve">AOP 017 – </w:t>
      </w:r>
      <w:r w:rsidRPr="005865B6">
        <w:t>Oprema za održavanje i zaštitu</w:t>
      </w:r>
    </w:p>
    <w:p w14:paraId="3B329431" w14:textId="19A9F41C" w:rsidR="008F0DA1" w:rsidRPr="005865B6" w:rsidRDefault="008F0DA1" w:rsidP="00941FE6">
      <w:pPr>
        <w:tabs>
          <w:tab w:val="left" w:pos="360"/>
        </w:tabs>
        <w:jc w:val="both"/>
      </w:pPr>
      <w:r w:rsidRPr="005865B6">
        <w:t xml:space="preserve">Račun 0223 </w:t>
      </w:r>
    </w:p>
    <w:p w14:paraId="28069F9A" w14:textId="34E628F3" w:rsidR="008F0DA1" w:rsidRPr="005865B6" w:rsidRDefault="008F0DA1" w:rsidP="00941FE6">
      <w:pPr>
        <w:tabs>
          <w:tab w:val="left" w:pos="360"/>
        </w:tabs>
        <w:jc w:val="both"/>
      </w:pPr>
      <w:r w:rsidRPr="005865B6">
        <w:t>Stanje 01.01.2021. =43.591 kn</w:t>
      </w:r>
    </w:p>
    <w:p w14:paraId="7CBDC0B9" w14:textId="34B3E21E" w:rsidR="008F0DA1" w:rsidRPr="005865B6" w:rsidRDefault="008F0DA1" w:rsidP="00941FE6">
      <w:pPr>
        <w:tabs>
          <w:tab w:val="left" w:pos="360"/>
        </w:tabs>
        <w:jc w:val="both"/>
      </w:pPr>
      <w:r w:rsidRPr="005865B6">
        <w:t>Stanje 31.12.2021. =55.628 kn</w:t>
      </w:r>
    </w:p>
    <w:p w14:paraId="142596EC" w14:textId="2440B109" w:rsidR="008F0DA1" w:rsidRPr="005865B6" w:rsidRDefault="00AD044A" w:rsidP="000F73E7">
      <w:pPr>
        <w:tabs>
          <w:tab w:val="left" w:pos="360"/>
        </w:tabs>
        <w:jc w:val="both"/>
      </w:pPr>
      <w:r w:rsidRPr="005865B6">
        <w:t>Povećanje u iznosu od 12.037 kn odnosi se na nabavu 2 klima uređaja za dječji vrtić u Velikom Bukovcu.</w:t>
      </w:r>
    </w:p>
    <w:p w14:paraId="19B397E5" w14:textId="77777777" w:rsidR="008F0DA1" w:rsidRPr="005865B6" w:rsidRDefault="008F0DA1" w:rsidP="00524AB8">
      <w:pPr>
        <w:widowControl/>
        <w:tabs>
          <w:tab w:val="left" w:pos="360"/>
        </w:tabs>
        <w:ind w:left="360"/>
        <w:jc w:val="both"/>
        <w:rPr>
          <w:rFonts w:eastAsia="Times New Roman" w:cs="Times New Roman"/>
          <w:b/>
          <w:bCs/>
          <w:kern w:val="0"/>
          <w:lang w:eastAsia="ar-SA"/>
        </w:rPr>
      </w:pPr>
    </w:p>
    <w:p w14:paraId="287F5B9B" w14:textId="011B91C3" w:rsidR="00524AB8" w:rsidRPr="005865B6" w:rsidRDefault="00524AB8" w:rsidP="000F73E7">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AOP 021</w:t>
      </w:r>
      <w:r w:rsidRPr="005865B6">
        <w:rPr>
          <w:rFonts w:eastAsia="Times New Roman" w:cs="Times New Roman"/>
          <w:kern w:val="0"/>
          <w:lang w:eastAsia="ar-SA"/>
        </w:rPr>
        <w:t xml:space="preserve"> – uređaji, strojevi i oprema za ostale namjene</w:t>
      </w:r>
    </w:p>
    <w:p w14:paraId="38EA0806" w14:textId="77777777" w:rsidR="00524AB8" w:rsidRPr="005865B6" w:rsidRDefault="00524AB8" w:rsidP="000F73E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0227</w:t>
      </w:r>
    </w:p>
    <w:p w14:paraId="0542A94C" w14:textId="4F4794AB" w:rsidR="00524AB8" w:rsidRPr="005865B6" w:rsidRDefault="00524AB8" w:rsidP="000F73E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0F73E7" w:rsidRPr="005865B6">
        <w:rPr>
          <w:rFonts w:eastAsia="Times New Roman" w:cs="Times New Roman"/>
          <w:kern w:val="0"/>
          <w:lang w:eastAsia="ar-SA"/>
        </w:rPr>
        <w:t>1</w:t>
      </w:r>
      <w:r w:rsidRPr="005865B6">
        <w:rPr>
          <w:rFonts w:eastAsia="Times New Roman" w:cs="Times New Roman"/>
          <w:kern w:val="0"/>
          <w:lang w:eastAsia="ar-SA"/>
        </w:rPr>
        <w:t xml:space="preserve">. = </w:t>
      </w:r>
      <w:r w:rsidR="000F73E7" w:rsidRPr="005865B6">
        <w:rPr>
          <w:rFonts w:eastAsia="Times New Roman" w:cs="Times New Roman"/>
          <w:kern w:val="0"/>
          <w:lang w:eastAsia="ar-SA"/>
        </w:rPr>
        <w:t>601.069</w:t>
      </w:r>
      <w:r w:rsidRPr="005865B6">
        <w:rPr>
          <w:rFonts w:eastAsia="Times New Roman" w:cs="Times New Roman"/>
          <w:kern w:val="0"/>
          <w:lang w:eastAsia="ar-SA"/>
        </w:rPr>
        <w:t xml:space="preserve"> kn</w:t>
      </w:r>
    </w:p>
    <w:p w14:paraId="6965774A" w14:textId="1F48F0A4" w:rsidR="00524AB8" w:rsidRPr="005865B6" w:rsidRDefault="00524AB8" w:rsidP="000F73E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0F73E7" w:rsidRPr="005865B6">
        <w:rPr>
          <w:rFonts w:eastAsia="Times New Roman" w:cs="Times New Roman"/>
          <w:kern w:val="0"/>
          <w:lang w:eastAsia="ar-SA"/>
        </w:rPr>
        <w:t>1</w:t>
      </w:r>
      <w:r w:rsidRPr="005865B6">
        <w:rPr>
          <w:rFonts w:eastAsia="Times New Roman" w:cs="Times New Roman"/>
          <w:kern w:val="0"/>
          <w:lang w:eastAsia="ar-SA"/>
        </w:rPr>
        <w:t xml:space="preserve">. = </w:t>
      </w:r>
      <w:r w:rsidR="000F73E7" w:rsidRPr="005865B6">
        <w:rPr>
          <w:rFonts w:eastAsia="Times New Roman" w:cs="Times New Roman"/>
          <w:kern w:val="0"/>
          <w:lang w:eastAsia="ar-SA"/>
        </w:rPr>
        <w:t>817.562</w:t>
      </w:r>
      <w:r w:rsidRPr="005865B6">
        <w:rPr>
          <w:rFonts w:eastAsia="Times New Roman" w:cs="Times New Roman"/>
          <w:kern w:val="0"/>
          <w:lang w:eastAsia="ar-SA"/>
        </w:rPr>
        <w:t xml:space="preserve"> kn</w:t>
      </w:r>
    </w:p>
    <w:p w14:paraId="749E31F0" w14:textId="570431E9" w:rsidR="00524AB8" w:rsidRPr="005865B6" w:rsidRDefault="00524AB8" w:rsidP="000F73E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Povećanje u 202</w:t>
      </w:r>
      <w:r w:rsidR="000F73E7" w:rsidRPr="005865B6">
        <w:rPr>
          <w:rFonts w:eastAsia="Times New Roman" w:cs="Times New Roman"/>
          <w:kern w:val="0"/>
          <w:lang w:eastAsia="ar-SA"/>
        </w:rPr>
        <w:t>1</w:t>
      </w:r>
      <w:r w:rsidRPr="005865B6">
        <w:rPr>
          <w:rFonts w:eastAsia="Times New Roman" w:cs="Times New Roman"/>
          <w:kern w:val="0"/>
          <w:lang w:eastAsia="ar-SA"/>
        </w:rPr>
        <w:t xml:space="preserve">. godini iznosi </w:t>
      </w:r>
      <w:r w:rsidR="000F73E7" w:rsidRPr="005865B6">
        <w:rPr>
          <w:rFonts w:eastAsia="Times New Roman" w:cs="Times New Roman"/>
          <w:kern w:val="0"/>
          <w:lang w:eastAsia="ar-SA"/>
        </w:rPr>
        <w:t>216.493</w:t>
      </w:r>
      <w:r w:rsidRPr="005865B6">
        <w:rPr>
          <w:rFonts w:eastAsia="Times New Roman" w:cs="Times New Roman"/>
          <w:kern w:val="0"/>
          <w:lang w:eastAsia="ar-SA"/>
        </w:rPr>
        <w:t xml:space="preserve"> kn</w:t>
      </w:r>
      <w:r w:rsidR="000E0058" w:rsidRPr="005865B6">
        <w:rPr>
          <w:rFonts w:eastAsia="Times New Roman" w:cs="Times New Roman"/>
          <w:kern w:val="0"/>
          <w:lang w:eastAsia="ar-SA"/>
        </w:rPr>
        <w:t xml:space="preserve"> a odnosi se </w:t>
      </w:r>
      <w:r w:rsidR="00A30856" w:rsidRPr="005865B6">
        <w:rPr>
          <w:rFonts w:eastAsia="Times New Roman" w:cs="Times New Roman"/>
          <w:kern w:val="0"/>
          <w:lang w:eastAsia="ar-SA"/>
        </w:rPr>
        <w:t>na nabavu:</w:t>
      </w:r>
    </w:p>
    <w:p w14:paraId="73EEBF24" w14:textId="6746594E" w:rsidR="00524AB8" w:rsidRPr="005865B6" w:rsidRDefault="00524AB8" w:rsidP="00524AB8">
      <w:pPr>
        <w:widowControl/>
        <w:tabs>
          <w:tab w:val="left" w:pos="360"/>
        </w:tabs>
        <w:jc w:val="both"/>
        <w:rPr>
          <w:rFonts w:eastAsia="Times New Roman" w:cs="Times New Roman"/>
          <w:kern w:val="0"/>
          <w:lang w:eastAsia="ar-SA"/>
        </w:rPr>
      </w:pPr>
    </w:p>
    <w:p w14:paraId="10DCEDB7" w14:textId="7F9A6623" w:rsidR="0022514B" w:rsidRPr="005865B6" w:rsidRDefault="0022514B" w:rsidP="0022514B">
      <w:pPr>
        <w:pStyle w:val="Odlomakpopisa"/>
        <w:widowControl/>
        <w:numPr>
          <w:ilvl w:val="0"/>
          <w:numId w:val="8"/>
        </w:numPr>
        <w:tabs>
          <w:tab w:val="left" w:pos="360"/>
        </w:tabs>
        <w:jc w:val="both"/>
        <w:rPr>
          <w:rFonts w:eastAsia="Times New Roman" w:cs="Times New Roman"/>
          <w:kern w:val="0"/>
          <w:lang w:eastAsia="ar-SA"/>
        </w:rPr>
      </w:pPr>
      <w:proofErr w:type="spellStart"/>
      <w:r w:rsidRPr="005865B6">
        <w:rPr>
          <w:rFonts w:eastAsia="Times New Roman" w:cs="Times New Roman"/>
          <w:kern w:val="0"/>
          <w:lang w:eastAsia="ar-SA"/>
        </w:rPr>
        <w:t>Prozračivač</w:t>
      </w:r>
      <w:proofErr w:type="spellEnd"/>
      <w:r w:rsidRPr="005865B6">
        <w:rPr>
          <w:rFonts w:eastAsia="Times New Roman" w:cs="Times New Roman"/>
          <w:kern w:val="0"/>
          <w:lang w:eastAsia="ar-SA"/>
        </w:rPr>
        <w:t xml:space="preserve"> trave – 4.800 kn</w:t>
      </w:r>
    </w:p>
    <w:p w14:paraId="614D3670" w14:textId="44B271F8" w:rsidR="0022514B" w:rsidRPr="005865B6" w:rsidRDefault="0022514B" w:rsidP="0022514B">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Kosilica – 4.140 kn</w:t>
      </w:r>
    </w:p>
    <w:p w14:paraId="0CCB1A01" w14:textId="05DF8D7F" w:rsidR="0022514B" w:rsidRPr="005865B6" w:rsidRDefault="0022514B" w:rsidP="0022514B">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Božićna dekoracija – 31.70</w:t>
      </w:r>
      <w:r w:rsidR="00FA7A5D" w:rsidRPr="005865B6">
        <w:rPr>
          <w:rFonts w:eastAsia="Times New Roman" w:cs="Times New Roman"/>
          <w:kern w:val="0"/>
          <w:lang w:eastAsia="ar-SA"/>
        </w:rPr>
        <w:t>5</w:t>
      </w:r>
      <w:r w:rsidRPr="005865B6">
        <w:rPr>
          <w:rFonts w:eastAsia="Times New Roman" w:cs="Times New Roman"/>
          <w:kern w:val="0"/>
          <w:lang w:eastAsia="ar-SA"/>
        </w:rPr>
        <w:t xml:space="preserve"> kn</w:t>
      </w:r>
    </w:p>
    <w:p w14:paraId="479234F8" w14:textId="31E7723B" w:rsidR="00524AB8" w:rsidRPr="005865B6" w:rsidRDefault="0022514B" w:rsidP="00524AB8">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Spremnici </w:t>
      </w:r>
      <w:r w:rsidR="000E0058" w:rsidRPr="005865B6">
        <w:rPr>
          <w:rFonts w:eastAsia="Times New Roman" w:cs="Times New Roman"/>
          <w:kern w:val="0"/>
          <w:lang w:eastAsia="ar-SA"/>
        </w:rPr>
        <w:t>–</w:t>
      </w:r>
      <w:r w:rsidRPr="005865B6">
        <w:rPr>
          <w:rFonts w:eastAsia="Times New Roman" w:cs="Times New Roman"/>
          <w:kern w:val="0"/>
          <w:lang w:eastAsia="ar-SA"/>
        </w:rPr>
        <w:t xml:space="preserve"> </w:t>
      </w:r>
      <w:r w:rsidR="000E0058" w:rsidRPr="005865B6">
        <w:rPr>
          <w:rFonts w:eastAsia="Times New Roman" w:cs="Times New Roman"/>
          <w:kern w:val="0"/>
          <w:lang w:eastAsia="ar-SA"/>
        </w:rPr>
        <w:t>175.848 kn</w:t>
      </w:r>
    </w:p>
    <w:p w14:paraId="4F06D905" w14:textId="77777777" w:rsidR="00524AB8" w:rsidRPr="005865B6" w:rsidRDefault="00524AB8" w:rsidP="00524AB8">
      <w:pPr>
        <w:widowControl/>
        <w:tabs>
          <w:tab w:val="left" w:pos="360"/>
        </w:tabs>
        <w:jc w:val="both"/>
        <w:rPr>
          <w:rFonts w:eastAsia="Times New Roman" w:cs="Times New Roman"/>
          <w:kern w:val="0"/>
          <w:lang w:eastAsia="ar-SA"/>
        </w:rPr>
      </w:pPr>
    </w:p>
    <w:p w14:paraId="54C0873B" w14:textId="7CC9B9CF" w:rsidR="00524AB8" w:rsidRPr="005865B6" w:rsidRDefault="005A0E16" w:rsidP="00524AB8">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AOP 025</w:t>
      </w:r>
      <w:r w:rsidRPr="005865B6">
        <w:rPr>
          <w:rFonts w:eastAsia="Times New Roman" w:cs="Times New Roman"/>
          <w:kern w:val="0"/>
          <w:lang w:eastAsia="ar-SA"/>
        </w:rPr>
        <w:t xml:space="preserve"> – prijevozna sredstva u cestovnom prometu</w:t>
      </w:r>
    </w:p>
    <w:p w14:paraId="61EA22A6" w14:textId="7A82C58C" w:rsidR="005A0E16" w:rsidRPr="005865B6" w:rsidRDefault="005A0E16" w:rsidP="00524AB8">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0231</w:t>
      </w:r>
    </w:p>
    <w:p w14:paraId="05E17A75" w14:textId="6C550606" w:rsidR="005A0E16" w:rsidRPr="005865B6" w:rsidRDefault="005A0E16" w:rsidP="00524AB8">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01.01.2021.=83.805 kn</w:t>
      </w:r>
    </w:p>
    <w:p w14:paraId="12BC32B6" w14:textId="57B5956F" w:rsidR="005A0E16" w:rsidRPr="005865B6" w:rsidRDefault="005A0E16" w:rsidP="00524AB8">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31.12.2021.=88.005 kn</w:t>
      </w:r>
    </w:p>
    <w:p w14:paraId="52187A06" w14:textId="6268548D" w:rsidR="005A0E16" w:rsidRPr="005865B6" w:rsidRDefault="00D34A97" w:rsidP="00524AB8">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Povećanje u iznosu 4.200 kn odnosi se na </w:t>
      </w:r>
      <w:r w:rsidR="008A3540" w:rsidRPr="005865B6">
        <w:rPr>
          <w:rFonts w:eastAsia="Times New Roman" w:cs="Times New Roman"/>
          <w:kern w:val="0"/>
          <w:lang w:eastAsia="ar-SA"/>
        </w:rPr>
        <w:t>nabavu prikolice.</w:t>
      </w:r>
    </w:p>
    <w:p w14:paraId="5754E85B" w14:textId="77777777" w:rsidR="00B61961" w:rsidRDefault="00B61961" w:rsidP="001F33E0">
      <w:pPr>
        <w:widowControl/>
        <w:tabs>
          <w:tab w:val="left" w:pos="360"/>
        </w:tabs>
        <w:rPr>
          <w:rFonts w:eastAsia="Times New Roman" w:cs="Times New Roman"/>
          <w:b/>
          <w:bCs/>
          <w:kern w:val="0"/>
          <w:lang w:eastAsia="ar-SA"/>
        </w:rPr>
      </w:pPr>
    </w:p>
    <w:p w14:paraId="1E3DC82C" w14:textId="77777777" w:rsidR="00E562CF" w:rsidRDefault="00E562CF" w:rsidP="001F33E0">
      <w:pPr>
        <w:widowControl/>
        <w:tabs>
          <w:tab w:val="left" w:pos="360"/>
        </w:tabs>
        <w:rPr>
          <w:rFonts w:eastAsia="Times New Roman" w:cs="Times New Roman"/>
          <w:b/>
          <w:bCs/>
          <w:kern w:val="0"/>
          <w:lang w:eastAsia="ar-SA"/>
        </w:rPr>
      </w:pPr>
    </w:p>
    <w:p w14:paraId="6585F855" w14:textId="77777777" w:rsidR="00E562CF" w:rsidRDefault="00E562CF" w:rsidP="001F33E0">
      <w:pPr>
        <w:widowControl/>
        <w:tabs>
          <w:tab w:val="left" w:pos="360"/>
        </w:tabs>
        <w:rPr>
          <w:rFonts w:eastAsia="Times New Roman" w:cs="Times New Roman"/>
          <w:b/>
          <w:bCs/>
          <w:kern w:val="0"/>
          <w:lang w:eastAsia="ar-SA"/>
        </w:rPr>
      </w:pPr>
    </w:p>
    <w:p w14:paraId="1E957F56" w14:textId="43350ECF" w:rsidR="00524AB8" w:rsidRPr="005865B6" w:rsidRDefault="00524AB8" w:rsidP="001F33E0">
      <w:pPr>
        <w:widowControl/>
        <w:tabs>
          <w:tab w:val="left" w:pos="360"/>
        </w:tabs>
        <w:rPr>
          <w:rFonts w:eastAsia="Times New Roman" w:cs="Times New Roman"/>
          <w:kern w:val="0"/>
          <w:lang w:eastAsia="ar-SA"/>
        </w:rPr>
      </w:pPr>
      <w:r w:rsidRPr="005865B6">
        <w:rPr>
          <w:rFonts w:eastAsia="Times New Roman" w:cs="Times New Roman"/>
          <w:b/>
          <w:bCs/>
          <w:kern w:val="0"/>
          <w:lang w:eastAsia="ar-SA"/>
        </w:rPr>
        <w:lastRenderedPageBreak/>
        <w:t>AOP 04</w:t>
      </w:r>
      <w:r w:rsidR="001F33E0" w:rsidRPr="005865B6">
        <w:rPr>
          <w:rFonts w:eastAsia="Times New Roman" w:cs="Times New Roman"/>
          <w:b/>
          <w:bCs/>
          <w:kern w:val="0"/>
          <w:lang w:eastAsia="ar-SA"/>
        </w:rPr>
        <w:t>3</w:t>
      </w:r>
      <w:r w:rsidRPr="005865B6">
        <w:rPr>
          <w:rFonts w:eastAsia="Times New Roman" w:cs="Times New Roman"/>
          <w:b/>
          <w:bCs/>
          <w:kern w:val="0"/>
          <w:lang w:eastAsia="ar-SA"/>
        </w:rPr>
        <w:t xml:space="preserve"> – </w:t>
      </w:r>
      <w:r w:rsidRPr="005865B6">
        <w:rPr>
          <w:rFonts w:eastAsia="Times New Roman" w:cs="Times New Roman"/>
          <w:kern w:val="0"/>
          <w:lang w:eastAsia="ar-SA"/>
        </w:rPr>
        <w:t>ostala nematerijalna proizvedena imovina</w:t>
      </w:r>
    </w:p>
    <w:p w14:paraId="6842CCAC" w14:textId="45EC0043" w:rsidR="00524AB8" w:rsidRPr="005865B6" w:rsidRDefault="00524AB8" w:rsidP="001F33E0">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026</w:t>
      </w:r>
      <w:r w:rsidR="001F33E0" w:rsidRPr="005865B6">
        <w:rPr>
          <w:rFonts w:eastAsia="Times New Roman" w:cs="Times New Roman"/>
          <w:kern w:val="0"/>
          <w:lang w:eastAsia="ar-SA"/>
        </w:rPr>
        <w:t>3</w:t>
      </w:r>
    </w:p>
    <w:p w14:paraId="65B2D8CB" w14:textId="1445590F" w:rsidR="00524AB8" w:rsidRPr="005865B6" w:rsidRDefault="00524AB8" w:rsidP="001F33E0">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1F33E0" w:rsidRPr="005865B6">
        <w:rPr>
          <w:rFonts w:eastAsia="Times New Roman" w:cs="Times New Roman"/>
          <w:kern w:val="0"/>
          <w:lang w:eastAsia="ar-SA"/>
        </w:rPr>
        <w:t>1</w:t>
      </w:r>
      <w:r w:rsidRPr="005865B6">
        <w:rPr>
          <w:rFonts w:eastAsia="Times New Roman" w:cs="Times New Roman"/>
          <w:kern w:val="0"/>
          <w:lang w:eastAsia="ar-SA"/>
        </w:rPr>
        <w:t>. =</w:t>
      </w:r>
      <w:r w:rsidR="001F33E0" w:rsidRPr="005865B6">
        <w:rPr>
          <w:rFonts w:eastAsia="Times New Roman" w:cs="Times New Roman"/>
          <w:kern w:val="0"/>
          <w:lang w:eastAsia="ar-SA"/>
        </w:rPr>
        <w:t>75.000</w:t>
      </w:r>
      <w:r w:rsidRPr="005865B6">
        <w:rPr>
          <w:rFonts w:eastAsia="Times New Roman" w:cs="Times New Roman"/>
          <w:kern w:val="0"/>
          <w:lang w:eastAsia="ar-SA"/>
        </w:rPr>
        <w:t xml:space="preserve"> kn</w:t>
      </w:r>
    </w:p>
    <w:p w14:paraId="1933DCAF" w14:textId="399593D8" w:rsidR="00524AB8" w:rsidRPr="005865B6" w:rsidRDefault="00524AB8" w:rsidP="001F33E0">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1F33E0" w:rsidRPr="005865B6">
        <w:rPr>
          <w:rFonts w:eastAsia="Times New Roman" w:cs="Times New Roman"/>
          <w:kern w:val="0"/>
          <w:lang w:eastAsia="ar-SA"/>
        </w:rPr>
        <w:t>1</w:t>
      </w:r>
      <w:r w:rsidRPr="005865B6">
        <w:rPr>
          <w:rFonts w:eastAsia="Times New Roman" w:cs="Times New Roman"/>
          <w:kern w:val="0"/>
          <w:lang w:eastAsia="ar-SA"/>
        </w:rPr>
        <w:t>. =</w:t>
      </w:r>
      <w:r w:rsidR="001F33E0" w:rsidRPr="005865B6">
        <w:rPr>
          <w:rFonts w:eastAsia="Times New Roman" w:cs="Times New Roman"/>
          <w:kern w:val="0"/>
          <w:lang w:eastAsia="ar-SA"/>
        </w:rPr>
        <w:t>231.250</w:t>
      </w:r>
      <w:r w:rsidRPr="005865B6">
        <w:rPr>
          <w:rFonts w:eastAsia="Times New Roman" w:cs="Times New Roman"/>
          <w:kern w:val="0"/>
          <w:lang w:eastAsia="ar-SA"/>
        </w:rPr>
        <w:t xml:space="preserve"> kn</w:t>
      </w:r>
    </w:p>
    <w:p w14:paraId="777BCE45" w14:textId="32056309" w:rsidR="00524AB8" w:rsidRPr="005865B6" w:rsidRDefault="00F56C3A" w:rsidP="001F33E0">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Povećanje u iznosu od 156.250 kn odnosi se na </w:t>
      </w:r>
      <w:r w:rsidR="00C45D50" w:rsidRPr="005865B6">
        <w:t xml:space="preserve"> rashode za izradu dokumenta prostornog uređenja (prostornog plana općine).</w:t>
      </w:r>
    </w:p>
    <w:p w14:paraId="63A523AD" w14:textId="77777777" w:rsidR="00524AB8" w:rsidRPr="005865B6" w:rsidRDefault="00524AB8" w:rsidP="00524AB8">
      <w:pPr>
        <w:widowControl/>
        <w:tabs>
          <w:tab w:val="left" w:pos="360"/>
        </w:tabs>
        <w:ind w:left="360"/>
        <w:jc w:val="both"/>
        <w:rPr>
          <w:rFonts w:eastAsia="Times New Roman" w:cs="Times New Roman"/>
          <w:kern w:val="0"/>
          <w:lang w:eastAsia="ar-SA"/>
        </w:rPr>
      </w:pPr>
    </w:p>
    <w:p w14:paraId="5156925E" w14:textId="77777777" w:rsidR="00524AB8" w:rsidRPr="005865B6" w:rsidRDefault="00524AB8" w:rsidP="007B6802">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 xml:space="preserve">AOP 049 </w:t>
      </w:r>
      <w:r w:rsidRPr="005865B6">
        <w:rPr>
          <w:rFonts w:eastAsia="Times New Roman" w:cs="Times New Roman"/>
          <w:kern w:val="0"/>
          <w:lang w:eastAsia="ar-SA"/>
        </w:rPr>
        <w:t>– Sitni inventar u uporabi</w:t>
      </w:r>
    </w:p>
    <w:p w14:paraId="0139F6EB" w14:textId="77777777" w:rsidR="00524AB8" w:rsidRPr="005865B6" w:rsidRDefault="00524AB8" w:rsidP="007B680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Račun 042 </w:t>
      </w:r>
    </w:p>
    <w:p w14:paraId="27C255E3" w14:textId="227E7392" w:rsidR="00524AB8" w:rsidRPr="005865B6" w:rsidRDefault="00524AB8" w:rsidP="007B680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7B6802" w:rsidRPr="005865B6">
        <w:rPr>
          <w:rFonts w:eastAsia="Times New Roman" w:cs="Times New Roman"/>
          <w:kern w:val="0"/>
          <w:lang w:eastAsia="ar-SA"/>
        </w:rPr>
        <w:t>1</w:t>
      </w:r>
      <w:r w:rsidRPr="005865B6">
        <w:rPr>
          <w:rFonts w:eastAsia="Times New Roman" w:cs="Times New Roman"/>
          <w:kern w:val="0"/>
          <w:lang w:eastAsia="ar-SA"/>
        </w:rPr>
        <w:t>. = 5</w:t>
      </w:r>
      <w:r w:rsidR="007B6802" w:rsidRPr="005865B6">
        <w:rPr>
          <w:rFonts w:eastAsia="Times New Roman" w:cs="Times New Roman"/>
          <w:kern w:val="0"/>
          <w:lang w:eastAsia="ar-SA"/>
        </w:rPr>
        <w:t>7</w:t>
      </w:r>
      <w:r w:rsidRPr="005865B6">
        <w:rPr>
          <w:rFonts w:eastAsia="Times New Roman" w:cs="Times New Roman"/>
          <w:kern w:val="0"/>
          <w:lang w:eastAsia="ar-SA"/>
        </w:rPr>
        <w:t>.</w:t>
      </w:r>
      <w:r w:rsidR="007B6802" w:rsidRPr="005865B6">
        <w:rPr>
          <w:rFonts w:eastAsia="Times New Roman" w:cs="Times New Roman"/>
          <w:kern w:val="0"/>
          <w:lang w:eastAsia="ar-SA"/>
        </w:rPr>
        <w:t>151</w:t>
      </w:r>
      <w:r w:rsidRPr="005865B6">
        <w:rPr>
          <w:rFonts w:eastAsia="Times New Roman" w:cs="Times New Roman"/>
          <w:kern w:val="0"/>
          <w:lang w:eastAsia="ar-SA"/>
        </w:rPr>
        <w:t xml:space="preserve"> kn</w:t>
      </w:r>
    </w:p>
    <w:p w14:paraId="6565A800" w14:textId="4B7911B5" w:rsidR="00524AB8" w:rsidRPr="005865B6" w:rsidRDefault="00524AB8" w:rsidP="007B680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7B6802" w:rsidRPr="005865B6">
        <w:rPr>
          <w:rFonts w:eastAsia="Times New Roman" w:cs="Times New Roman"/>
          <w:kern w:val="0"/>
          <w:lang w:eastAsia="ar-SA"/>
        </w:rPr>
        <w:t>1</w:t>
      </w:r>
      <w:r w:rsidRPr="005865B6">
        <w:rPr>
          <w:rFonts w:eastAsia="Times New Roman" w:cs="Times New Roman"/>
          <w:kern w:val="0"/>
          <w:lang w:eastAsia="ar-SA"/>
        </w:rPr>
        <w:t xml:space="preserve">. = </w:t>
      </w:r>
      <w:r w:rsidR="007B6802" w:rsidRPr="005865B6">
        <w:rPr>
          <w:rFonts w:eastAsia="Times New Roman" w:cs="Times New Roman"/>
          <w:kern w:val="0"/>
          <w:lang w:eastAsia="ar-SA"/>
        </w:rPr>
        <w:t>64.411</w:t>
      </w:r>
      <w:r w:rsidRPr="005865B6">
        <w:rPr>
          <w:rFonts w:eastAsia="Times New Roman" w:cs="Times New Roman"/>
          <w:kern w:val="0"/>
          <w:lang w:eastAsia="ar-SA"/>
        </w:rPr>
        <w:t xml:space="preserve"> kn</w:t>
      </w:r>
    </w:p>
    <w:p w14:paraId="2400D03A" w14:textId="2B3E77BB" w:rsidR="008B7FC5" w:rsidRPr="005865B6" w:rsidRDefault="008B7FC5" w:rsidP="008B7FC5">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Povećanje se odnosi na nabavu: zastava u iznosu od 3.442 kn, leđne prskalice u iznosu od 652 kn, štafelaja u iznosu od 3.849 kn i auto guma u iznosu od 3.030 kn.</w:t>
      </w:r>
    </w:p>
    <w:p w14:paraId="6A9196FC" w14:textId="302E6138" w:rsidR="008B7FC5" w:rsidRPr="005865B6" w:rsidRDefault="008B7FC5" w:rsidP="008B7FC5">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Iz poslovnih knjiga isknjižen je sitni inventar u sveukupnoj vrijednosti od 3.714 kn.</w:t>
      </w:r>
    </w:p>
    <w:p w14:paraId="7E4293CF" w14:textId="77777777" w:rsidR="0097152B" w:rsidRPr="005865B6" w:rsidRDefault="0097152B" w:rsidP="00524AB8">
      <w:pPr>
        <w:widowControl/>
        <w:tabs>
          <w:tab w:val="left" w:pos="360"/>
        </w:tabs>
        <w:ind w:left="360"/>
        <w:jc w:val="both"/>
        <w:rPr>
          <w:rFonts w:eastAsia="Times New Roman" w:cs="Times New Roman"/>
          <w:kern w:val="0"/>
          <w:lang w:eastAsia="ar-SA"/>
        </w:rPr>
      </w:pPr>
    </w:p>
    <w:p w14:paraId="416D6737" w14:textId="5B2D6C07" w:rsidR="00524AB8" w:rsidRPr="005865B6" w:rsidRDefault="00524AB8" w:rsidP="0097152B">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 xml:space="preserve">AOP 052 – </w:t>
      </w:r>
      <w:r w:rsidRPr="005865B6">
        <w:rPr>
          <w:rFonts w:eastAsia="Times New Roman" w:cs="Times New Roman"/>
          <w:kern w:val="0"/>
          <w:lang w:eastAsia="ar-SA"/>
        </w:rPr>
        <w:t>građevinski objekti u pripremi</w:t>
      </w:r>
    </w:p>
    <w:p w14:paraId="1D1D87B1" w14:textId="77777777" w:rsidR="00524AB8" w:rsidRPr="005865B6" w:rsidRDefault="00524AB8" w:rsidP="0097152B">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051</w:t>
      </w:r>
    </w:p>
    <w:p w14:paraId="10EB5B8F" w14:textId="6C4326CD" w:rsidR="00524AB8" w:rsidRPr="005865B6" w:rsidRDefault="00524AB8" w:rsidP="00E56D4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w:t>
      </w:r>
      <w:r w:rsidR="00E56D42" w:rsidRPr="005865B6">
        <w:rPr>
          <w:rFonts w:eastAsia="Times New Roman" w:cs="Times New Roman"/>
          <w:kern w:val="0"/>
          <w:lang w:eastAsia="ar-SA"/>
        </w:rPr>
        <w:t>21</w:t>
      </w:r>
      <w:r w:rsidRPr="005865B6">
        <w:rPr>
          <w:rFonts w:eastAsia="Times New Roman" w:cs="Times New Roman"/>
          <w:kern w:val="0"/>
          <w:lang w:eastAsia="ar-SA"/>
        </w:rPr>
        <w:t>. =</w:t>
      </w:r>
      <w:r w:rsidR="00E56D42" w:rsidRPr="005865B6">
        <w:rPr>
          <w:rFonts w:eastAsia="Times New Roman" w:cs="Times New Roman"/>
          <w:kern w:val="0"/>
          <w:lang w:eastAsia="ar-SA"/>
        </w:rPr>
        <w:t>422.632</w:t>
      </w:r>
      <w:r w:rsidRPr="005865B6">
        <w:rPr>
          <w:rFonts w:eastAsia="Times New Roman" w:cs="Times New Roman"/>
          <w:kern w:val="0"/>
          <w:lang w:eastAsia="ar-SA"/>
        </w:rPr>
        <w:t xml:space="preserve"> kn</w:t>
      </w:r>
    </w:p>
    <w:p w14:paraId="776B36E1" w14:textId="0DD386D1" w:rsidR="00524AB8" w:rsidRPr="005865B6" w:rsidRDefault="00524AB8" w:rsidP="00E56D4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E56D42" w:rsidRPr="005865B6">
        <w:rPr>
          <w:rFonts w:eastAsia="Times New Roman" w:cs="Times New Roman"/>
          <w:kern w:val="0"/>
          <w:lang w:eastAsia="ar-SA"/>
        </w:rPr>
        <w:t>1</w:t>
      </w:r>
      <w:r w:rsidRPr="005865B6">
        <w:rPr>
          <w:rFonts w:eastAsia="Times New Roman" w:cs="Times New Roman"/>
          <w:kern w:val="0"/>
          <w:lang w:eastAsia="ar-SA"/>
        </w:rPr>
        <w:t>. =</w:t>
      </w:r>
      <w:r w:rsidR="00E56D42" w:rsidRPr="005865B6">
        <w:rPr>
          <w:rFonts w:eastAsia="Times New Roman" w:cs="Times New Roman"/>
          <w:kern w:val="0"/>
          <w:lang w:eastAsia="ar-SA"/>
        </w:rPr>
        <w:t>3.521.709</w:t>
      </w:r>
      <w:r w:rsidRPr="005865B6">
        <w:rPr>
          <w:rFonts w:eastAsia="Times New Roman" w:cs="Times New Roman"/>
          <w:kern w:val="0"/>
          <w:lang w:eastAsia="ar-SA"/>
        </w:rPr>
        <w:t xml:space="preserve"> kn</w:t>
      </w:r>
    </w:p>
    <w:p w14:paraId="67254920" w14:textId="7DC5C45D" w:rsidR="00524AB8" w:rsidRPr="005865B6" w:rsidRDefault="00524AB8" w:rsidP="00E56D4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Povećanje u iznosu od </w:t>
      </w:r>
      <w:r w:rsidR="004C1A5B" w:rsidRPr="005865B6">
        <w:rPr>
          <w:rFonts w:eastAsia="Times New Roman" w:cs="Times New Roman"/>
          <w:kern w:val="0"/>
          <w:lang w:eastAsia="ar-SA"/>
        </w:rPr>
        <w:t>1.100.618</w:t>
      </w:r>
      <w:r w:rsidRPr="005865B6">
        <w:rPr>
          <w:rFonts w:eastAsia="Times New Roman" w:cs="Times New Roman"/>
          <w:kern w:val="0"/>
          <w:lang w:eastAsia="ar-SA"/>
        </w:rPr>
        <w:t xml:space="preserve"> kn odnosi se na </w:t>
      </w:r>
      <w:r w:rsidR="008A3540" w:rsidRPr="005865B6">
        <w:rPr>
          <w:rFonts w:eastAsia="Times New Roman" w:cs="Times New Roman"/>
          <w:kern w:val="0"/>
          <w:lang w:eastAsia="ar-SA"/>
        </w:rPr>
        <w:t xml:space="preserve">izgradnju zgrade </w:t>
      </w:r>
      <w:r w:rsidRPr="005865B6">
        <w:rPr>
          <w:rFonts w:eastAsia="Times New Roman" w:cs="Times New Roman"/>
          <w:kern w:val="0"/>
          <w:lang w:eastAsia="ar-SA"/>
        </w:rPr>
        <w:t>Osnovne škole Veliki Bukovec.</w:t>
      </w:r>
    </w:p>
    <w:p w14:paraId="78213D07" w14:textId="66DE2869" w:rsidR="00C6486B" w:rsidRPr="005865B6" w:rsidRDefault="00C6486B" w:rsidP="00E56D42">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Za rekonstrukciju mosta na rijeci Plitvici na </w:t>
      </w:r>
      <w:proofErr w:type="spellStart"/>
      <w:r w:rsidRPr="005865B6">
        <w:rPr>
          <w:rFonts w:eastAsia="Times New Roman" w:cs="Times New Roman"/>
          <w:kern w:val="0"/>
          <w:lang w:eastAsia="ar-SA"/>
        </w:rPr>
        <w:t>Dubovici</w:t>
      </w:r>
      <w:proofErr w:type="spellEnd"/>
      <w:r w:rsidRPr="005865B6">
        <w:rPr>
          <w:rFonts w:eastAsia="Times New Roman" w:cs="Times New Roman"/>
          <w:kern w:val="0"/>
          <w:lang w:eastAsia="ar-SA"/>
        </w:rPr>
        <w:t xml:space="preserve"> utrošeno je 1.998.459 kn.</w:t>
      </w:r>
    </w:p>
    <w:p w14:paraId="3650D69E" w14:textId="1C79C0B6" w:rsidR="0046523E" w:rsidRPr="005865B6" w:rsidRDefault="0046523E" w:rsidP="0046523E">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Isknjižena je imovina u pripremi u iznosu 257.585 za rekonstrukciju raskrižja u Velikom Bukovcu te je stavljena u uporabu.</w:t>
      </w:r>
    </w:p>
    <w:p w14:paraId="0F7B6255" w14:textId="77777777" w:rsidR="00F71B04" w:rsidRPr="005865B6" w:rsidRDefault="00F71B04" w:rsidP="005779C7">
      <w:pPr>
        <w:widowControl/>
        <w:tabs>
          <w:tab w:val="left" w:pos="360"/>
        </w:tabs>
        <w:jc w:val="both"/>
        <w:rPr>
          <w:rFonts w:eastAsia="Times New Roman" w:cs="Times New Roman"/>
          <w:b/>
          <w:bCs/>
          <w:kern w:val="0"/>
          <w:lang w:eastAsia="ar-SA"/>
        </w:rPr>
      </w:pPr>
    </w:p>
    <w:p w14:paraId="0488D01F" w14:textId="2365B271" w:rsidR="00524AB8" w:rsidRPr="005865B6" w:rsidRDefault="00524AB8" w:rsidP="005779C7">
      <w:pPr>
        <w:widowControl/>
        <w:tabs>
          <w:tab w:val="left" w:pos="360"/>
        </w:tabs>
        <w:jc w:val="both"/>
        <w:rPr>
          <w:rFonts w:eastAsia="Times New Roman" w:cs="Times New Roman"/>
          <w:kern w:val="0"/>
          <w:lang w:eastAsia="ar-SA"/>
        </w:rPr>
      </w:pPr>
      <w:r w:rsidRPr="005865B6">
        <w:rPr>
          <w:rFonts w:eastAsia="Times New Roman" w:cs="Times New Roman"/>
          <w:b/>
          <w:bCs/>
          <w:kern w:val="0"/>
          <w:lang w:eastAsia="ar-SA"/>
        </w:rPr>
        <w:t xml:space="preserve">AOP 056 </w:t>
      </w:r>
      <w:r w:rsidRPr="005865B6">
        <w:rPr>
          <w:rFonts w:eastAsia="Times New Roman" w:cs="Times New Roman"/>
          <w:kern w:val="0"/>
          <w:lang w:eastAsia="ar-SA"/>
        </w:rPr>
        <w:t>– Ostala nematerijalna proizvedena imovina u pripremi</w:t>
      </w:r>
    </w:p>
    <w:p w14:paraId="438D1753" w14:textId="77777777" w:rsidR="00524AB8" w:rsidRPr="005865B6" w:rsidRDefault="00524AB8" w:rsidP="005779C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Račun 055</w:t>
      </w:r>
    </w:p>
    <w:p w14:paraId="16C4A991" w14:textId="2980AFB8" w:rsidR="00524AB8" w:rsidRPr="005865B6" w:rsidRDefault="00524AB8" w:rsidP="005779C7">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01.01.202</w:t>
      </w:r>
      <w:r w:rsidR="005779C7" w:rsidRPr="005865B6">
        <w:rPr>
          <w:rFonts w:eastAsia="Times New Roman" w:cs="Times New Roman"/>
          <w:kern w:val="0"/>
          <w:lang w:eastAsia="ar-SA"/>
        </w:rPr>
        <w:t>1</w:t>
      </w:r>
      <w:r w:rsidRPr="005865B6">
        <w:rPr>
          <w:rFonts w:eastAsia="Times New Roman" w:cs="Times New Roman"/>
          <w:kern w:val="0"/>
          <w:lang w:eastAsia="ar-SA"/>
        </w:rPr>
        <w:t>. =</w:t>
      </w:r>
      <w:r w:rsidR="005779C7" w:rsidRPr="005865B6">
        <w:rPr>
          <w:rFonts w:eastAsia="Times New Roman" w:cs="Times New Roman"/>
          <w:kern w:val="0"/>
          <w:lang w:eastAsia="ar-SA"/>
        </w:rPr>
        <w:t>180.750</w:t>
      </w:r>
      <w:r w:rsidRPr="005865B6">
        <w:rPr>
          <w:rFonts w:eastAsia="Times New Roman" w:cs="Times New Roman"/>
          <w:kern w:val="0"/>
          <w:lang w:eastAsia="ar-SA"/>
        </w:rPr>
        <w:t xml:space="preserve"> kn</w:t>
      </w:r>
    </w:p>
    <w:p w14:paraId="11A9CE0F" w14:textId="6C2A2EF6" w:rsidR="00524AB8" w:rsidRPr="005865B6" w:rsidRDefault="00524AB8" w:rsidP="00B0798C">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Stanje 31.12.202</w:t>
      </w:r>
      <w:r w:rsidR="00B0798C" w:rsidRPr="005865B6">
        <w:rPr>
          <w:rFonts w:eastAsia="Times New Roman" w:cs="Times New Roman"/>
          <w:kern w:val="0"/>
          <w:lang w:eastAsia="ar-SA"/>
        </w:rPr>
        <w:t>1</w:t>
      </w:r>
      <w:r w:rsidRPr="005865B6">
        <w:rPr>
          <w:rFonts w:eastAsia="Times New Roman" w:cs="Times New Roman"/>
          <w:kern w:val="0"/>
          <w:lang w:eastAsia="ar-SA"/>
        </w:rPr>
        <w:t>. =</w:t>
      </w:r>
      <w:r w:rsidR="00B0798C" w:rsidRPr="005865B6">
        <w:rPr>
          <w:rFonts w:eastAsia="Times New Roman" w:cs="Times New Roman"/>
          <w:kern w:val="0"/>
          <w:lang w:eastAsia="ar-SA"/>
        </w:rPr>
        <w:t>154.887</w:t>
      </w:r>
      <w:r w:rsidRPr="005865B6">
        <w:rPr>
          <w:rFonts w:eastAsia="Times New Roman" w:cs="Times New Roman"/>
          <w:kern w:val="0"/>
          <w:lang w:eastAsia="ar-SA"/>
        </w:rPr>
        <w:t xml:space="preserve"> kn</w:t>
      </w:r>
    </w:p>
    <w:p w14:paraId="433F5B19" w14:textId="35FEB0D3" w:rsidR="00B0798C" w:rsidRPr="005865B6" w:rsidRDefault="003C5683" w:rsidP="00524AB8">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PS čine rashodi za: </w:t>
      </w:r>
    </w:p>
    <w:p w14:paraId="33AE7298" w14:textId="71119C40" w:rsidR="00985CA0" w:rsidRPr="005865B6" w:rsidRDefault="00985CA0" w:rsidP="00985CA0">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Rotor na raskrižju Dravske i Kolarove ulice u Velikom Bukovcu u iznosu od 49.500 kn </w:t>
      </w:r>
    </w:p>
    <w:p w14:paraId="6E296EAE" w14:textId="77D389DA" w:rsidR="00985CA0" w:rsidRPr="005865B6" w:rsidRDefault="00985CA0" w:rsidP="00985CA0">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Strategiju ukupnog razvoja u iznosu od 37.500 kn</w:t>
      </w:r>
    </w:p>
    <w:p w14:paraId="50A93F53" w14:textId="4BA4440D" w:rsidR="003C5683" w:rsidRPr="005865B6" w:rsidRDefault="003C5683" w:rsidP="00985CA0">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Prostorni plan u iznosu od 93.750 kn</w:t>
      </w:r>
    </w:p>
    <w:p w14:paraId="006203F4" w14:textId="15219D42" w:rsidR="003C5683" w:rsidRPr="005865B6" w:rsidRDefault="003C5683" w:rsidP="003C5683">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 xml:space="preserve">Povećanje rashoda u 2021. godini odnosi se na rashode za: </w:t>
      </w:r>
    </w:p>
    <w:p w14:paraId="24CB1648" w14:textId="63C1079E" w:rsidR="003C5683" w:rsidRPr="005865B6" w:rsidRDefault="003C5683" w:rsidP="003C5683">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Prostorni plan u iznosu od 62.500 kn</w:t>
      </w:r>
    </w:p>
    <w:p w14:paraId="6D738E0C" w14:textId="3DB8AEAB" w:rsidR="00985CA0" w:rsidRPr="005865B6" w:rsidRDefault="00985CA0" w:rsidP="00985CA0">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Projektnu dokumentaciju – geotermalna energija u iznosu od 50.000 kn</w:t>
      </w:r>
    </w:p>
    <w:p w14:paraId="5A745E0E" w14:textId="095C55F4" w:rsidR="00985CA0" w:rsidRPr="005865B6" w:rsidRDefault="00985CA0" w:rsidP="00985CA0">
      <w:pPr>
        <w:pStyle w:val="Odlomakpopisa"/>
        <w:widowControl/>
        <w:numPr>
          <w:ilvl w:val="0"/>
          <w:numId w:val="8"/>
        </w:numPr>
        <w:tabs>
          <w:tab w:val="left" w:pos="360"/>
        </w:tabs>
        <w:jc w:val="both"/>
        <w:rPr>
          <w:rFonts w:eastAsia="Times New Roman" w:cs="Times New Roman"/>
          <w:kern w:val="0"/>
          <w:lang w:eastAsia="ar-SA"/>
        </w:rPr>
      </w:pPr>
      <w:r w:rsidRPr="005865B6">
        <w:rPr>
          <w:rFonts w:eastAsia="Times New Roman" w:cs="Times New Roman"/>
          <w:kern w:val="0"/>
          <w:lang w:eastAsia="ar-SA"/>
        </w:rPr>
        <w:t>Aplikaciju Transparentnost u iznosu od 17.887 kn</w:t>
      </w:r>
    </w:p>
    <w:p w14:paraId="1EFD4E79" w14:textId="4D291265" w:rsidR="00524AB8" w:rsidRPr="005865B6" w:rsidRDefault="003C5683" w:rsidP="00C279D9">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Isknjižena je imovina u pripremi za Prostorni plan u iznosu od 156.250 kn i stavljena u imovinu u uporabi.</w:t>
      </w:r>
    </w:p>
    <w:p w14:paraId="5E787D1F" w14:textId="77777777" w:rsidR="00B0798C" w:rsidRPr="005865B6" w:rsidRDefault="00B0798C" w:rsidP="00524AB8">
      <w:pPr>
        <w:widowControl/>
        <w:tabs>
          <w:tab w:val="left" w:pos="720"/>
        </w:tabs>
        <w:ind w:left="720"/>
        <w:jc w:val="both"/>
        <w:rPr>
          <w:rFonts w:eastAsia="Times New Roman" w:cs="Times New Roman"/>
          <w:b/>
          <w:bCs/>
          <w:kern w:val="0"/>
          <w:lang w:eastAsia="ar-SA"/>
        </w:rPr>
      </w:pPr>
    </w:p>
    <w:p w14:paraId="6E932ED2" w14:textId="77777777" w:rsidR="00B0798C" w:rsidRPr="005865B6" w:rsidRDefault="00B0798C" w:rsidP="00524AB8">
      <w:pPr>
        <w:widowControl/>
        <w:tabs>
          <w:tab w:val="left" w:pos="720"/>
        </w:tabs>
        <w:ind w:left="720"/>
        <w:jc w:val="both"/>
        <w:rPr>
          <w:rFonts w:eastAsia="Times New Roman" w:cs="Times New Roman"/>
          <w:b/>
          <w:bCs/>
          <w:kern w:val="0"/>
          <w:lang w:eastAsia="ar-SA"/>
        </w:rPr>
      </w:pPr>
    </w:p>
    <w:p w14:paraId="76B84C8C" w14:textId="4F64F18B" w:rsidR="00524AB8" w:rsidRPr="005865B6" w:rsidRDefault="00524AB8" w:rsidP="00524AB8">
      <w:pPr>
        <w:widowControl/>
        <w:tabs>
          <w:tab w:val="left" w:pos="720"/>
        </w:tabs>
        <w:ind w:left="720"/>
        <w:jc w:val="both"/>
        <w:rPr>
          <w:rFonts w:eastAsia="Times New Roman" w:cs="Times New Roman"/>
          <w:b/>
          <w:bCs/>
          <w:kern w:val="0"/>
          <w:lang w:eastAsia="ar-SA"/>
        </w:rPr>
      </w:pPr>
      <w:r w:rsidRPr="005865B6">
        <w:rPr>
          <w:rFonts w:eastAsia="Times New Roman" w:cs="Times New Roman"/>
          <w:b/>
          <w:bCs/>
          <w:kern w:val="0"/>
          <w:lang w:eastAsia="ar-SA"/>
        </w:rPr>
        <w:t>ISPRAVAK VRIJEDNOSTI:</w:t>
      </w:r>
    </w:p>
    <w:p w14:paraId="175D99D6" w14:textId="77777777" w:rsidR="00524AB8" w:rsidRPr="005865B6" w:rsidRDefault="00524AB8" w:rsidP="00524AB8">
      <w:pPr>
        <w:widowControl/>
        <w:tabs>
          <w:tab w:val="left" w:pos="0"/>
        </w:tabs>
        <w:jc w:val="both"/>
        <w:rPr>
          <w:rFonts w:eastAsia="Times New Roman" w:cs="Times New Roman"/>
          <w:kern w:val="0"/>
          <w:lang w:eastAsia="ar-SA"/>
        </w:rPr>
      </w:pPr>
    </w:p>
    <w:p w14:paraId="7CE36DB2" w14:textId="77777777" w:rsidR="00524AB8" w:rsidRPr="005865B6" w:rsidRDefault="00524AB8" w:rsidP="00524AB8">
      <w:pPr>
        <w:widowControl/>
        <w:tabs>
          <w:tab w:val="left" w:pos="0"/>
        </w:tabs>
        <w:jc w:val="both"/>
        <w:rPr>
          <w:rFonts w:eastAsia="Times New Roman" w:cs="Times New Roman"/>
          <w:b/>
          <w:kern w:val="0"/>
          <w:lang w:eastAsia="ar-SA"/>
        </w:rPr>
      </w:pPr>
      <w:r w:rsidRPr="005865B6">
        <w:rPr>
          <w:rFonts w:eastAsia="Times New Roman" w:cs="Times New Roman"/>
          <w:b/>
          <w:kern w:val="0"/>
          <w:lang w:eastAsia="ar-SA"/>
        </w:rPr>
        <w:t>AOP 013 – Ispravak vrijednosti građevinskih objekata</w:t>
      </w:r>
    </w:p>
    <w:p w14:paraId="3BF44664" w14:textId="1AB4D84C"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02921 = stanje na dan 01.01.202</w:t>
      </w:r>
      <w:r w:rsidR="00F71B04" w:rsidRPr="005865B6">
        <w:rPr>
          <w:rFonts w:eastAsia="Times New Roman" w:cs="Times New Roman"/>
          <w:kern w:val="0"/>
          <w:lang w:eastAsia="ar-SA"/>
        </w:rPr>
        <w:t>1</w:t>
      </w:r>
      <w:r w:rsidRPr="005865B6">
        <w:rPr>
          <w:rFonts w:eastAsia="Times New Roman" w:cs="Times New Roman"/>
          <w:kern w:val="0"/>
          <w:lang w:eastAsia="ar-SA"/>
        </w:rPr>
        <w:t>. =2.</w:t>
      </w:r>
      <w:r w:rsidR="00F71B04" w:rsidRPr="005865B6">
        <w:rPr>
          <w:rFonts w:eastAsia="Times New Roman" w:cs="Times New Roman"/>
          <w:kern w:val="0"/>
          <w:lang w:eastAsia="ar-SA"/>
        </w:rPr>
        <w:t>705.177</w:t>
      </w:r>
      <w:r w:rsidRPr="005865B6">
        <w:rPr>
          <w:rFonts w:eastAsia="Times New Roman" w:cs="Times New Roman"/>
          <w:kern w:val="0"/>
          <w:lang w:eastAsia="ar-SA"/>
        </w:rPr>
        <w:t xml:space="preserve"> kn</w:t>
      </w:r>
    </w:p>
    <w:p w14:paraId="253D4691" w14:textId="1B33DB18" w:rsidR="00524AB8" w:rsidRPr="005865B6" w:rsidRDefault="00524AB8" w:rsidP="00524AB8">
      <w:pPr>
        <w:widowControl/>
        <w:tabs>
          <w:tab w:val="left" w:pos="720"/>
        </w:tabs>
        <w:ind w:left="720"/>
        <w:jc w:val="both"/>
        <w:rPr>
          <w:rFonts w:eastAsia="Times New Roman" w:cs="Times New Roman"/>
          <w:kern w:val="0"/>
          <w:lang w:eastAsia="ar-SA"/>
        </w:rPr>
      </w:pPr>
      <w:r w:rsidRPr="005865B6">
        <w:rPr>
          <w:rFonts w:eastAsia="Times New Roman" w:cs="Times New Roman"/>
          <w:kern w:val="0"/>
          <w:lang w:eastAsia="ar-SA"/>
        </w:rPr>
        <w:t>02921 = stanje na dan 31.12.202</w:t>
      </w:r>
      <w:r w:rsidR="00F71B04" w:rsidRPr="005865B6">
        <w:rPr>
          <w:rFonts w:eastAsia="Times New Roman" w:cs="Times New Roman"/>
          <w:kern w:val="0"/>
          <w:lang w:eastAsia="ar-SA"/>
        </w:rPr>
        <w:t>1</w:t>
      </w:r>
      <w:r w:rsidRPr="005865B6">
        <w:rPr>
          <w:rFonts w:eastAsia="Times New Roman" w:cs="Times New Roman"/>
          <w:kern w:val="0"/>
          <w:lang w:eastAsia="ar-SA"/>
        </w:rPr>
        <w:t>. =</w:t>
      </w:r>
      <w:r w:rsidR="00F71B04" w:rsidRPr="005865B6">
        <w:rPr>
          <w:rFonts w:eastAsia="Times New Roman" w:cs="Times New Roman"/>
          <w:kern w:val="0"/>
          <w:lang w:eastAsia="ar-SA"/>
        </w:rPr>
        <w:t>3</w:t>
      </w:r>
      <w:r w:rsidRPr="005865B6">
        <w:rPr>
          <w:rFonts w:eastAsia="Times New Roman" w:cs="Times New Roman"/>
          <w:kern w:val="0"/>
          <w:lang w:eastAsia="ar-SA"/>
        </w:rPr>
        <w:t>.</w:t>
      </w:r>
      <w:r w:rsidR="00F71B04" w:rsidRPr="005865B6">
        <w:rPr>
          <w:rFonts w:eastAsia="Times New Roman" w:cs="Times New Roman"/>
          <w:kern w:val="0"/>
          <w:lang w:eastAsia="ar-SA"/>
        </w:rPr>
        <w:t>033.343</w:t>
      </w:r>
      <w:r w:rsidRPr="005865B6">
        <w:rPr>
          <w:rFonts w:eastAsia="Times New Roman" w:cs="Times New Roman"/>
          <w:kern w:val="0"/>
          <w:lang w:eastAsia="ar-SA"/>
        </w:rPr>
        <w:t xml:space="preserve"> kn</w:t>
      </w:r>
    </w:p>
    <w:p w14:paraId="3AC8F328" w14:textId="77777777" w:rsidR="00524AB8" w:rsidRPr="005865B6" w:rsidRDefault="00524AB8" w:rsidP="00524AB8">
      <w:pPr>
        <w:widowControl/>
        <w:tabs>
          <w:tab w:val="left" w:pos="0"/>
        </w:tabs>
        <w:jc w:val="both"/>
        <w:rPr>
          <w:rFonts w:eastAsia="Times New Roman" w:cs="Times New Roman"/>
          <w:b/>
          <w:kern w:val="0"/>
          <w:lang w:eastAsia="ar-SA"/>
        </w:rPr>
      </w:pPr>
    </w:p>
    <w:p w14:paraId="4A250E23" w14:textId="77777777" w:rsidR="00524AB8" w:rsidRPr="005865B6" w:rsidRDefault="00524AB8" w:rsidP="00524AB8">
      <w:pPr>
        <w:widowControl/>
        <w:tabs>
          <w:tab w:val="left" w:pos="0"/>
        </w:tabs>
        <w:jc w:val="both"/>
        <w:rPr>
          <w:rFonts w:eastAsia="Times New Roman" w:cs="Times New Roman"/>
          <w:b/>
          <w:kern w:val="0"/>
          <w:lang w:eastAsia="ar-SA"/>
        </w:rPr>
      </w:pPr>
      <w:r w:rsidRPr="005865B6">
        <w:rPr>
          <w:rFonts w:eastAsia="Times New Roman" w:cs="Times New Roman"/>
          <w:b/>
          <w:kern w:val="0"/>
          <w:lang w:eastAsia="ar-SA"/>
        </w:rPr>
        <w:t>AOP 023 - Ispravak vrijednosti postrojenja i opreme</w:t>
      </w:r>
    </w:p>
    <w:p w14:paraId="0A9C2EEF" w14:textId="39A364F6"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02922 = stanje na dan 01.01.202</w:t>
      </w:r>
      <w:r w:rsidR="00DC409B" w:rsidRPr="005865B6">
        <w:rPr>
          <w:rFonts w:eastAsia="Times New Roman" w:cs="Times New Roman"/>
          <w:kern w:val="0"/>
          <w:lang w:eastAsia="ar-SA"/>
        </w:rPr>
        <w:t>1</w:t>
      </w:r>
      <w:r w:rsidRPr="005865B6">
        <w:rPr>
          <w:rFonts w:eastAsia="Times New Roman" w:cs="Times New Roman"/>
          <w:kern w:val="0"/>
          <w:lang w:eastAsia="ar-SA"/>
        </w:rPr>
        <w:t xml:space="preserve">.   = </w:t>
      </w:r>
      <w:r w:rsidR="00DC409B" w:rsidRPr="005865B6">
        <w:rPr>
          <w:rFonts w:eastAsia="Times New Roman" w:cs="Times New Roman"/>
          <w:kern w:val="0"/>
          <w:lang w:eastAsia="ar-SA"/>
        </w:rPr>
        <w:t>450.388</w:t>
      </w:r>
      <w:r w:rsidRPr="005865B6">
        <w:rPr>
          <w:rFonts w:eastAsia="Times New Roman" w:cs="Times New Roman"/>
          <w:kern w:val="0"/>
          <w:lang w:eastAsia="ar-SA"/>
        </w:rPr>
        <w:t xml:space="preserve"> kn</w:t>
      </w:r>
    </w:p>
    <w:p w14:paraId="24C12E9D" w14:textId="2D4A3102"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02922 = stanje na dan 31.12.202</w:t>
      </w:r>
      <w:r w:rsidR="00DC409B" w:rsidRPr="005865B6">
        <w:rPr>
          <w:rFonts w:eastAsia="Times New Roman" w:cs="Times New Roman"/>
          <w:kern w:val="0"/>
          <w:lang w:eastAsia="ar-SA"/>
        </w:rPr>
        <w:t>1</w:t>
      </w:r>
      <w:r w:rsidRPr="005865B6">
        <w:rPr>
          <w:rFonts w:eastAsia="Times New Roman" w:cs="Times New Roman"/>
          <w:kern w:val="0"/>
          <w:lang w:eastAsia="ar-SA"/>
        </w:rPr>
        <w:t xml:space="preserve">.   = </w:t>
      </w:r>
      <w:r w:rsidR="00DC409B" w:rsidRPr="005865B6">
        <w:rPr>
          <w:rFonts w:eastAsia="Times New Roman" w:cs="Times New Roman"/>
          <w:kern w:val="0"/>
          <w:lang w:eastAsia="ar-SA"/>
        </w:rPr>
        <w:t>610.096</w:t>
      </w:r>
      <w:r w:rsidRPr="005865B6">
        <w:rPr>
          <w:rFonts w:eastAsia="Times New Roman" w:cs="Times New Roman"/>
          <w:kern w:val="0"/>
          <w:lang w:eastAsia="ar-SA"/>
        </w:rPr>
        <w:t xml:space="preserve"> kn</w:t>
      </w:r>
    </w:p>
    <w:p w14:paraId="222601D2" w14:textId="77777777" w:rsidR="00524AB8" w:rsidRPr="005865B6" w:rsidRDefault="00524AB8" w:rsidP="00524AB8">
      <w:pPr>
        <w:widowControl/>
        <w:tabs>
          <w:tab w:val="left" w:pos="0"/>
        </w:tabs>
        <w:jc w:val="both"/>
        <w:rPr>
          <w:rFonts w:ascii="Arial" w:eastAsia="Times New Roman" w:hAnsi="Arial" w:cs="Arial"/>
          <w:kern w:val="0"/>
          <w:lang w:eastAsia="ar-SA"/>
        </w:rPr>
      </w:pPr>
    </w:p>
    <w:p w14:paraId="2720A564" w14:textId="77777777" w:rsidR="00524AB8" w:rsidRPr="005865B6" w:rsidRDefault="00524AB8" w:rsidP="00524AB8">
      <w:pPr>
        <w:widowControl/>
        <w:tabs>
          <w:tab w:val="left" w:pos="0"/>
        </w:tabs>
        <w:jc w:val="both"/>
        <w:rPr>
          <w:rFonts w:eastAsia="Times New Roman" w:cs="Times New Roman"/>
          <w:b/>
          <w:kern w:val="0"/>
          <w:lang w:eastAsia="ar-SA"/>
        </w:rPr>
      </w:pPr>
      <w:r w:rsidRPr="005865B6">
        <w:rPr>
          <w:rFonts w:eastAsia="Times New Roman" w:cs="Times New Roman"/>
          <w:b/>
          <w:kern w:val="0"/>
          <w:lang w:eastAsia="ar-SA"/>
        </w:rPr>
        <w:t>AOP 029 - Ispravak vrijednosti prijevoznih sredstava</w:t>
      </w:r>
    </w:p>
    <w:p w14:paraId="2A75A779" w14:textId="3967A506"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02922 = stanje na dan 01.01.202</w:t>
      </w:r>
      <w:r w:rsidR="00EB736D" w:rsidRPr="005865B6">
        <w:rPr>
          <w:rFonts w:eastAsia="Times New Roman" w:cs="Times New Roman"/>
          <w:kern w:val="0"/>
          <w:lang w:eastAsia="ar-SA"/>
        </w:rPr>
        <w:t>1</w:t>
      </w:r>
      <w:r w:rsidRPr="005865B6">
        <w:rPr>
          <w:rFonts w:eastAsia="Times New Roman" w:cs="Times New Roman"/>
          <w:kern w:val="0"/>
          <w:lang w:eastAsia="ar-SA"/>
        </w:rPr>
        <w:t xml:space="preserve">.   =  </w:t>
      </w:r>
      <w:r w:rsidR="00EB736D" w:rsidRPr="005865B6">
        <w:rPr>
          <w:rFonts w:eastAsia="Times New Roman" w:cs="Times New Roman"/>
          <w:kern w:val="0"/>
          <w:lang w:eastAsia="ar-SA"/>
        </w:rPr>
        <w:t>51.126</w:t>
      </w:r>
      <w:r w:rsidRPr="005865B6">
        <w:rPr>
          <w:rFonts w:eastAsia="Times New Roman" w:cs="Times New Roman"/>
          <w:kern w:val="0"/>
          <w:lang w:eastAsia="ar-SA"/>
        </w:rPr>
        <w:t xml:space="preserve"> kn</w:t>
      </w:r>
    </w:p>
    <w:p w14:paraId="7EA6A4FF" w14:textId="583B8CFD"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02922 = stanje na dan 31.12.202</w:t>
      </w:r>
      <w:r w:rsidR="00EB736D" w:rsidRPr="005865B6">
        <w:rPr>
          <w:rFonts w:eastAsia="Times New Roman" w:cs="Times New Roman"/>
          <w:kern w:val="0"/>
          <w:lang w:eastAsia="ar-SA"/>
        </w:rPr>
        <w:t>1</w:t>
      </w:r>
      <w:r w:rsidRPr="005865B6">
        <w:rPr>
          <w:rFonts w:eastAsia="Times New Roman" w:cs="Times New Roman"/>
          <w:kern w:val="0"/>
          <w:lang w:eastAsia="ar-SA"/>
        </w:rPr>
        <w:t xml:space="preserve">.   =  </w:t>
      </w:r>
      <w:r w:rsidR="00EB736D" w:rsidRPr="005865B6">
        <w:rPr>
          <w:rFonts w:eastAsia="Times New Roman" w:cs="Times New Roman"/>
          <w:kern w:val="0"/>
          <w:lang w:eastAsia="ar-SA"/>
        </w:rPr>
        <w:t>68.263</w:t>
      </w:r>
      <w:r w:rsidRPr="005865B6">
        <w:rPr>
          <w:rFonts w:eastAsia="Times New Roman" w:cs="Times New Roman"/>
          <w:kern w:val="0"/>
          <w:lang w:eastAsia="ar-SA"/>
        </w:rPr>
        <w:t xml:space="preserve"> kn</w:t>
      </w:r>
    </w:p>
    <w:p w14:paraId="5A14B4E2" w14:textId="77777777" w:rsidR="00524AB8" w:rsidRPr="005865B6" w:rsidRDefault="00524AB8" w:rsidP="00524AB8">
      <w:pPr>
        <w:widowControl/>
        <w:tabs>
          <w:tab w:val="left" w:pos="0"/>
        </w:tabs>
        <w:jc w:val="both"/>
        <w:rPr>
          <w:rFonts w:ascii="Arial" w:eastAsia="Times New Roman" w:hAnsi="Arial" w:cs="Arial"/>
          <w:kern w:val="0"/>
          <w:lang w:eastAsia="ar-SA"/>
        </w:rPr>
      </w:pPr>
    </w:p>
    <w:p w14:paraId="3E7B56F2" w14:textId="77777777" w:rsidR="00B61961" w:rsidRDefault="00B61961" w:rsidP="00524AB8">
      <w:pPr>
        <w:widowControl/>
        <w:tabs>
          <w:tab w:val="left" w:pos="0"/>
        </w:tabs>
        <w:jc w:val="both"/>
        <w:rPr>
          <w:rFonts w:eastAsia="Times New Roman" w:cs="Times New Roman"/>
          <w:b/>
          <w:kern w:val="0"/>
          <w:lang w:eastAsia="ar-SA"/>
        </w:rPr>
      </w:pPr>
    </w:p>
    <w:p w14:paraId="676C31D1" w14:textId="6F62DB13" w:rsidR="00524AB8" w:rsidRPr="005865B6" w:rsidRDefault="00524AB8" w:rsidP="00524AB8">
      <w:pPr>
        <w:widowControl/>
        <w:tabs>
          <w:tab w:val="left" w:pos="0"/>
        </w:tabs>
        <w:jc w:val="both"/>
        <w:rPr>
          <w:rFonts w:eastAsia="Times New Roman" w:cs="Times New Roman"/>
          <w:b/>
          <w:kern w:val="0"/>
          <w:lang w:eastAsia="ar-SA"/>
        </w:rPr>
      </w:pPr>
      <w:r w:rsidRPr="005865B6">
        <w:rPr>
          <w:rFonts w:eastAsia="Times New Roman" w:cs="Times New Roman"/>
          <w:b/>
          <w:kern w:val="0"/>
          <w:lang w:eastAsia="ar-SA"/>
        </w:rPr>
        <w:lastRenderedPageBreak/>
        <w:t>AOP 045 – Ispravak vrijednosti nematerijalne proizvedene imovine</w:t>
      </w:r>
    </w:p>
    <w:p w14:paraId="3CC01876" w14:textId="445FF3EE"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ab/>
        <w:t>02926= stanje na dan 01.01.202</w:t>
      </w:r>
      <w:r w:rsidR="0086211B" w:rsidRPr="005865B6">
        <w:rPr>
          <w:rFonts w:eastAsia="Times New Roman" w:cs="Times New Roman"/>
          <w:kern w:val="0"/>
          <w:lang w:eastAsia="ar-SA"/>
        </w:rPr>
        <w:t>1</w:t>
      </w:r>
      <w:r w:rsidRPr="005865B6">
        <w:rPr>
          <w:rFonts w:eastAsia="Times New Roman" w:cs="Times New Roman"/>
          <w:kern w:val="0"/>
          <w:lang w:eastAsia="ar-SA"/>
        </w:rPr>
        <w:t xml:space="preserve">. = </w:t>
      </w:r>
      <w:r w:rsidR="0086211B" w:rsidRPr="005865B6">
        <w:rPr>
          <w:rFonts w:eastAsia="Times New Roman" w:cs="Times New Roman"/>
          <w:kern w:val="0"/>
          <w:lang w:eastAsia="ar-SA"/>
        </w:rPr>
        <w:t>160.574</w:t>
      </w:r>
    </w:p>
    <w:p w14:paraId="3077322C" w14:textId="79DB9894"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 xml:space="preserve">           02926= stanje na dan  31.12.202</w:t>
      </w:r>
      <w:r w:rsidR="0086211B" w:rsidRPr="005865B6">
        <w:rPr>
          <w:rFonts w:eastAsia="Times New Roman" w:cs="Times New Roman"/>
          <w:kern w:val="0"/>
          <w:lang w:eastAsia="ar-SA"/>
        </w:rPr>
        <w:t>1</w:t>
      </w:r>
      <w:r w:rsidRPr="005865B6">
        <w:rPr>
          <w:rFonts w:eastAsia="Times New Roman" w:cs="Times New Roman"/>
          <w:kern w:val="0"/>
          <w:lang w:eastAsia="ar-SA"/>
        </w:rPr>
        <w:t xml:space="preserve">. = </w:t>
      </w:r>
      <w:r w:rsidR="0086211B" w:rsidRPr="005865B6">
        <w:rPr>
          <w:rFonts w:eastAsia="Times New Roman" w:cs="Times New Roman"/>
          <w:kern w:val="0"/>
          <w:lang w:eastAsia="ar-SA"/>
        </w:rPr>
        <w:t>217.611</w:t>
      </w:r>
    </w:p>
    <w:p w14:paraId="67CC8A83" w14:textId="77777777" w:rsidR="00524AB8" w:rsidRPr="005865B6" w:rsidRDefault="00524AB8" w:rsidP="00524AB8">
      <w:pPr>
        <w:widowControl/>
        <w:tabs>
          <w:tab w:val="left" w:pos="0"/>
        </w:tabs>
        <w:jc w:val="both"/>
        <w:rPr>
          <w:rFonts w:eastAsia="Times New Roman" w:cs="Times New Roman"/>
          <w:kern w:val="0"/>
          <w:lang w:eastAsia="ar-SA"/>
        </w:rPr>
      </w:pPr>
    </w:p>
    <w:p w14:paraId="2CEABD33" w14:textId="77777777" w:rsidR="00524AB8" w:rsidRPr="005865B6" w:rsidRDefault="00524AB8" w:rsidP="00524AB8">
      <w:pPr>
        <w:widowControl/>
        <w:tabs>
          <w:tab w:val="left" w:pos="0"/>
        </w:tabs>
        <w:jc w:val="both"/>
        <w:rPr>
          <w:rFonts w:eastAsia="Times New Roman" w:cs="Times New Roman"/>
          <w:b/>
          <w:bCs/>
          <w:kern w:val="0"/>
          <w:lang w:eastAsia="ar-SA"/>
        </w:rPr>
      </w:pPr>
      <w:r w:rsidRPr="005865B6">
        <w:rPr>
          <w:rFonts w:eastAsia="Times New Roman" w:cs="Times New Roman"/>
          <w:b/>
          <w:bCs/>
          <w:kern w:val="0"/>
          <w:lang w:eastAsia="ar-SA"/>
        </w:rPr>
        <w:t>2. AOP 063 – FINANCIJSKA IMOVINA</w:t>
      </w:r>
    </w:p>
    <w:p w14:paraId="44691FCC" w14:textId="77777777" w:rsidR="00524AB8" w:rsidRPr="005865B6" w:rsidRDefault="00524AB8" w:rsidP="00524AB8">
      <w:pPr>
        <w:widowControl/>
        <w:tabs>
          <w:tab w:val="left" w:pos="0"/>
        </w:tabs>
        <w:jc w:val="both"/>
        <w:rPr>
          <w:rFonts w:ascii="Arial" w:eastAsia="Times New Roman" w:hAnsi="Arial" w:cs="Arial"/>
          <w:kern w:val="0"/>
          <w:lang w:eastAsia="ar-SA"/>
        </w:rPr>
      </w:pPr>
    </w:p>
    <w:p w14:paraId="0FF5BFE3" w14:textId="77777777" w:rsidR="00524AB8" w:rsidRPr="005865B6" w:rsidRDefault="00524AB8" w:rsidP="00524AB8">
      <w:pPr>
        <w:widowControl/>
        <w:tabs>
          <w:tab w:val="left" w:pos="0"/>
        </w:tabs>
        <w:jc w:val="both"/>
        <w:rPr>
          <w:rFonts w:eastAsia="Times New Roman" w:cs="Times New Roman"/>
          <w:b/>
          <w:bCs/>
          <w:kern w:val="0"/>
          <w:lang w:eastAsia="ar-SA"/>
        </w:rPr>
      </w:pPr>
      <w:r w:rsidRPr="005865B6">
        <w:rPr>
          <w:rFonts w:eastAsia="Times New Roman" w:cs="Times New Roman"/>
          <w:b/>
          <w:bCs/>
          <w:kern w:val="0"/>
          <w:lang w:eastAsia="ar-SA"/>
        </w:rPr>
        <w:t>AOP 064 – Novac u banci i blagajni</w:t>
      </w:r>
    </w:p>
    <w:p w14:paraId="61CF14B8" w14:textId="1D66E9A8" w:rsidR="00524AB8" w:rsidRPr="005865B6" w:rsidRDefault="00524AB8" w:rsidP="00524AB8">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Stanje novaca u banci i blagajni na dan 31.12.202</w:t>
      </w:r>
      <w:r w:rsidR="004715A6" w:rsidRPr="005865B6">
        <w:rPr>
          <w:rFonts w:eastAsia="Times New Roman" w:cs="Times New Roman"/>
          <w:kern w:val="0"/>
          <w:lang w:eastAsia="ar-SA"/>
        </w:rPr>
        <w:t>1</w:t>
      </w:r>
      <w:r w:rsidRPr="005865B6">
        <w:rPr>
          <w:rFonts w:eastAsia="Times New Roman" w:cs="Times New Roman"/>
          <w:kern w:val="0"/>
          <w:lang w:eastAsia="ar-SA"/>
        </w:rPr>
        <w:t xml:space="preserve">. godine iznosi </w:t>
      </w:r>
      <w:r w:rsidR="004715A6" w:rsidRPr="005865B6">
        <w:rPr>
          <w:rFonts w:eastAsia="Times New Roman" w:cs="Times New Roman"/>
          <w:kern w:val="0"/>
          <w:lang w:eastAsia="ar-SA"/>
        </w:rPr>
        <w:t>273.522</w:t>
      </w:r>
      <w:r w:rsidRPr="005865B6">
        <w:rPr>
          <w:rFonts w:eastAsia="Times New Roman" w:cs="Times New Roman"/>
          <w:kern w:val="0"/>
          <w:lang w:eastAsia="ar-SA"/>
        </w:rPr>
        <w:t xml:space="preserve"> kn (novac na žiro-računu kod tuzemnih poslovnih banka 2</w:t>
      </w:r>
      <w:r w:rsidR="004715A6" w:rsidRPr="005865B6">
        <w:rPr>
          <w:rFonts w:eastAsia="Times New Roman" w:cs="Times New Roman"/>
          <w:kern w:val="0"/>
          <w:lang w:eastAsia="ar-SA"/>
        </w:rPr>
        <w:t>67</w:t>
      </w:r>
      <w:r w:rsidRPr="005865B6">
        <w:rPr>
          <w:rFonts w:eastAsia="Times New Roman" w:cs="Times New Roman"/>
          <w:kern w:val="0"/>
          <w:lang w:eastAsia="ar-SA"/>
        </w:rPr>
        <w:t>.</w:t>
      </w:r>
      <w:r w:rsidR="004715A6" w:rsidRPr="005865B6">
        <w:rPr>
          <w:rFonts w:eastAsia="Times New Roman" w:cs="Times New Roman"/>
          <w:kern w:val="0"/>
          <w:lang w:eastAsia="ar-SA"/>
        </w:rPr>
        <w:t>312</w:t>
      </w:r>
      <w:r w:rsidRPr="005865B6">
        <w:rPr>
          <w:rFonts w:eastAsia="Times New Roman" w:cs="Times New Roman"/>
          <w:kern w:val="0"/>
          <w:lang w:eastAsia="ar-SA"/>
        </w:rPr>
        <w:t xml:space="preserve"> kn, novčana sredstva u blagajni </w:t>
      </w:r>
      <w:r w:rsidR="004715A6" w:rsidRPr="005865B6">
        <w:rPr>
          <w:rFonts w:eastAsia="Times New Roman" w:cs="Times New Roman"/>
          <w:kern w:val="0"/>
          <w:lang w:eastAsia="ar-SA"/>
        </w:rPr>
        <w:t>6.210</w:t>
      </w:r>
      <w:r w:rsidRPr="005865B6">
        <w:rPr>
          <w:rFonts w:eastAsia="Times New Roman" w:cs="Times New Roman"/>
          <w:kern w:val="0"/>
          <w:lang w:eastAsia="ar-SA"/>
        </w:rPr>
        <w:t xml:space="preserve"> kn).</w:t>
      </w:r>
    </w:p>
    <w:p w14:paraId="605ACBF4" w14:textId="77777777" w:rsidR="00524AB8" w:rsidRPr="005865B6" w:rsidRDefault="00524AB8" w:rsidP="00524AB8">
      <w:pPr>
        <w:widowControl/>
        <w:tabs>
          <w:tab w:val="left" w:pos="0"/>
        </w:tabs>
        <w:jc w:val="both"/>
        <w:rPr>
          <w:rFonts w:eastAsia="Times New Roman" w:cs="Times New Roman"/>
          <w:kern w:val="0"/>
          <w:lang w:eastAsia="ar-SA"/>
        </w:rPr>
      </w:pPr>
    </w:p>
    <w:p w14:paraId="164F4C2D" w14:textId="77777777" w:rsidR="00524AB8" w:rsidRPr="005865B6" w:rsidRDefault="00524AB8" w:rsidP="00524AB8">
      <w:pPr>
        <w:widowControl/>
        <w:tabs>
          <w:tab w:val="left" w:pos="0"/>
        </w:tabs>
        <w:jc w:val="both"/>
        <w:rPr>
          <w:rFonts w:ascii="Arial" w:eastAsia="Times New Roman" w:hAnsi="Arial" w:cs="Arial"/>
          <w:kern w:val="0"/>
          <w:lang w:eastAsia="ar-SA"/>
        </w:rPr>
      </w:pPr>
    </w:p>
    <w:p w14:paraId="7B2A0979" w14:textId="77777777" w:rsidR="00524AB8" w:rsidRPr="005865B6" w:rsidRDefault="00524AB8" w:rsidP="00524AB8">
      <w:pPr>
        <w:widowControl/>
        <w:tabs>
          <w:tab w:val="left" w:pos="0"/>
        </w:tabs>
        <w:jc w:val="both"/>
        <w:rPr>
          <w:rFonts w:eastAsia="Times New Roman" w:cs="Times New Roman"/>
          <w:b/>
          <w:bCs/>
          <w:kern w:val="0"/>
          <w:lang w:eastAsia="ar-SA"/>
        </w:rPr>
      </w:pPr>
      <w:r w:rsidRPr="005865B6">
        <w:rPr>
          <w:rFonts w:eastAsia="Times New Roman" w:cs="Times New Roman"/>
          <w:b/>
          <w:bCs/>
          <w:kern w:val="0"/>
          <w:lang w:eastAsia="ar-SA"/>
        </w:rPr>
        <w:t>AOP 129 – Dionice i udjeli u glavnici</w:t>
      </w:r>
    </w:p>
    <w:p w14:paraId="098730E3" w14:textId="3ACE7575" w:rsidR="00524AB8" w:rsidRPr="005865B6" w:rsidRDefault="003E3232" w:rsidP="0022787C">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Općina Veliki Bukovec posjeduje slijedeće udjele:</w:t>
      </w:r>
    </w:p>
    <w:p w14:paraId="1D7CE452" w14:textId="37A6A0CF" w:rsidR="003E3232" w:rsidRPr="005865B6" w:rsidRDefault="003E3232" w:rsidP="003E3232">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Varkom d.d.</w:t>
      </w:r>
      <w:r w:rsidR="00A7254F" w:rsidRPr="005865B6">
        <w:rPr>
          <w:rFonts w:eastAsia="Times New Roman" w:cs="Times New Roman"/>
          <w:kern w:val="0"/>
          <w:lang w:eastAsia="ar-SA"/>
        </w:rPr>
        <w:t>, nominalna vrijednost udjela 2.606.700 kn</w:t>
      </w:r>
    </w:p>
    <w:p w14:paraId="2328C07A" w14:textId="086C0C16" w:rsidR="00A7254F" w:rsidRPr="005865B6" w:rsidRDefault="00A7254F" w:rsidP="003E3232">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Čistoća d.o.o., nominalna vrijednost udjela 146.600 kn</w:t>
      </w:r>
    </w:p>
    <w:p w14:paraId="34185999" w14:textId="364D36C5" w:rsidR="00A7254F" w:rsidRPr="005865B6" w:rsidRDefault="00A7254F" w:rsidP="003E3232">
      <w:pPr>
        <w:widowControl/>
        <w:tabs>
          <w:tab w:val="left" w:pos="0"/>
        </w:tabs>
        <w:jc w:val="both"/>
        <w:rPr>
          <w:rFonts w:eastAsia="Times New Roman" w:cs="Times New Roman"/>
          <w:kern w:val="0"/>
          <w:lang w:eastAsia="ar-SA"/>
        </w:rPr>
      </w:pPr>
      <w:r w:rsidRPr="005865B6">
        <w:rPr>
          <w:rFonts w:eastAsia="Times New Roman" w:cs="Times New Roman"/>
          <w:kern w:val="0"/>
          <w:lang w:eastAsia="ar-SA"/>
        </w:rPr>
        <w:t>Lukom d.o.o.., nominalna vrijednost udjela 30.000 kn</w:t>
      </w:r>
    </w:p>
    <w:p w14:paraId="226B2CF7" w14:textId="77777777" w:rsidR="00524AB8" w:rsidRPr="005865B6" w:rsidRDefault="00524AB8" w:rsidP="00524AB8">
      <w:pPr>
        <w:widowControl/>
        <w:tabs>
          <w:tab w:val="left" w:pos="360"/>
        </w:tabs>
        <w:jc w:val="both"/>
        <w:rPr>
          <w:rFonts w:ascii="Arial" w:eastAsia="Times New Roman" w:hAnsi="Arial" w:cs="Arial"/>
          <w:kern w:val="0"/>
          <w:lang w:eastAsia="ar-SA"/>
        </w:rPr>
      </w:pPr>
    </w:p>
    <w:p w14:paraId="04A8B190" w14:textId="77777777" w:rsidR="00524AB8" w:rsidRPr="005865B6" w:rsidRDefault="00524AB8" w:rsidP="00524AB8">
      <w:pPr>
        <w:widowControl/>
        <w:tabs>
          <w:tab w:val="left" w:pos="360"/>
        </w:tabs>
        <w:jc w:val="both"/>
        <w:rPr>
          <w:rFonts w:eastAsia="Times New Roman" w:cs="Times New Roman"/>
          <w:b/>
          <w:bCs/>
          <w:kern w:val="0"/>
          <w:lang w:eastAsia="ar-SA"/>
        </w:rPr>
      </w:pPr>
      <w:r w:rsidRPr="005865B6">
        <w:rPr>
          <w:rFonts w:eastAsia="Times New Roman" w:cs="Times New Roman"/>
          <w:b/>
          <w:bCs/>
          <w:kern w:val="0"/>
          <w:lang w:eastAsia="ar-SA"/>
        </w:rPr>
        <w:t xml:space="preserve">AOP 141 - Potraživanja za prihode poslovanja </w:t>
      </w:r>
    </w:p>
    <w:p w14:paraId="56B08CC5" w14:textId="77777777" w:rsidR="00524AB8" w:rsidRPr="005865B6" w:rsidRDefault="00524AB8" w:rsidP="00524AB8">
      <w:pPr>
        <w:widowControl/>
        <w:tabs>
          <w:tab w:val="left" w:pos="360"/>
        </w:tabs>
        <w:jc w:val="both"/>
        <w:rPr>
          <w:rFonts w:eastAsia="Times New Roman" w:cs="Times New Roman"/>
          <w:b/>
          <w:bCs/>
          <w:kern w:val="0"/>
          <w:lang w:eastAsia="ar-SA"/>
        </w:rPr>
      </w:pPr>
    </w:p>
    <w:p w14:paraId="4E1548E4" w14:textId="3C78803F" w:rsidR="00524AB8" w:rsidRPr="005865B6" w:rsidRDefault="00524AB8" w:rsidP="003D54D6">
      <w:pPr>
        <w:widowControl/>
        <w:tabs>
          <w:tab w:val="left" w:pos="720"/>
        </w:tabs>
        <w:jc w:val="both"/>
        <w:rPr>
          <w:rFonts w:eastAsia="Times New Roman" w:cs="Times New Roman"/>
          <w:b/>
          <w:bCs/>
          <w:kern w:val="0"/>
          <w:lang w:eastAsia="ar-SA"/>
        </w:rPr>
      </w:pPr>
      <w:r w:rsidRPr="005865B6">
        <w:rPr>
          <w:rFonts w:eastAsia="Times New Roman" w:cs="Times New Roman"/>
          <w:b/>
          <w:bCs/>
          <w:kern w:val="0"/>
          <w:lang w:eastAsia="ar-SA"/>
        </w:rPr>
        <w:t xml:space="preserve">(AOP 142) </w:t>
      </w:r>
      <w:r w:rsidRPr="005865B6">
        <w:rPr>
          <w:rFonts w:eastAsia="Times New Roman" w:cs="Times New Roman"/>
          <w:b/>
          <w:kern w:val="0"/>
          <w:lang w:eastAsia="ar-SA"/>
        </w:rPr>
        <w:t xml:space="preserve">– Račun 161 - potraživanja za poreze: </w:t>
      </w:r>
      <w:r w:rsidRPr="005865B6">
        <w:rPr>
          <w:rFonts w:eastAsia="Times New Roman" w:cs="Times New Roman"/>
          <w:b/>
          <w:bCs/>
          <w:kern w:val="0"/>
          <w:lang w:eastAsia="ar-SA"/>
        </w:rPr>
        <w:t>=</w:t>
      </w:r>
      <w:r w:rsidR="004D5FD7" w:rsidRPr="005865B6">
        <w:rPr>
          <w:rFonts w:eastAsia="Times New Roman" w:cs="Times New Roman"/>
          <w:b/>
          <w:bCs/>
          <w:kern w:val="0"/>
          <w:lang w:eastAsia="ar-SA"/>
        </w:rPr>
        <w:t>28.535</w:t>
      </w:r>
    </w:p>
    <w:p w14:paraId="219A3F2D" w14:textId="77777777" w:rsidR="00524AB8" w:rsidRPr="005865B6" w:rsidRDefault="00524AB8" w:rsidP="00524AB8">
      <w:pPr>
        <w:widowControl/>
        <w:tabs>
          <w:tab w:val="left" w:pos="720"/>
        </w:tabs>
        <w:ind w:left="720"/>
        <w:jc w:val="both"/>
        <w:rPr>
          <w:rFonts w:eastAsia="Times New Roman" w:cs="Times New Roman"/>
          <w:b/>
          <w:bCs/>
          <w:kern w:val="0"/>
          <w:lang w:eastAsia="ar-SA"/>
        </w:rPr>
      </w:pPr>
    </w:p>
    <w:p w14:paraId="35766DDA" w14:textId="67387E76" w:rsidR="00524AB8" w:rsidRPr="005865B6" w:rsidRDefault="00524AB8" w:rsidP="003D54D6">
      <w:pPr>
        <w:widowControl/>
        <w:tabs>
          <w:tab w:val="left" w:pos="720"/>
        </w:tabs>
        <w:jc w:val="both"/>
        <w:rPr>
          <w:rFonts w:eastAsia="Times New Roman" w:cs="Times New Roman"/>
          <w:b/>
          <w:kern w:val="0"/>
          <w:lang w:eastAsia="ar-SA"/>
        </w:rPr>
      </w:pPr>
      <w:r w:rsidRPr="005865B6">
        <w:rPr>
          <w:rFonts w:eastAsia="Times New Roman" w:cs="Times New Roman"/>
          <w:b/>
          <w:bCs/>
          <w:kern w:val="0"/>
          <w:lang w:eastAsia="ar-SA"/>
        </w:rPr>
        <w:t>(AOP 15</w:t>
      </w:r>
      <w:r w:rsidR="004D5FD7" w:rsidRPr="005865B6">
        <w:rPr>
          <w:rFonts w:eastAsia="Times New Roman" w:cs="Times New Roman"/>
          <w:b/>
          <w:bCs/>
          <w:kern w:val="0"/>
          <w:lang w:eastAsia="ar-SA"/>
        </w:rPr>
        <w:t>3</w:t>
      </w:r>
      <w:r w:rsidRPr="005865B6">
        <w:rPr>
          <w:rFonts w:eastAsia="Times New Roman" w:cs="Times New Roman"/>
          <w:b/>
          <w:bCs/>
          <w:kern w:val="0"/>
          <w:lang w:eastAsia="ar-SA"/>
        </w:rPr>
        <w:t>)</w:t>
      </w:r>
      <w:r w:rsidRPr="005865B6">
        <w:rPr>
          <w:rFonts w:eastAsia="Times New Roman" w:cs="Times New Roman"/>
          <w:b/>
          <w:kern w:val="0"/>
          <w:lang w:eastAsia="ar-SA"/>
        </w:rPr>
        <w:t xml:space="preserve"> – Račun 164 -  potraživanja za prihode od imovine u ukupnom iznosu od </w:t>
      </w:r>
      <w:r w:rsidRPr="005865B6">
        <w:rPr>
          <w:rFonts w:eastAsia="Times New Roman" w:cs="Times New Roman"/>
          <w:b/>
          <w:bCs/>
          <w:kern w:val="0"/>
          <w:lang w:eastAsia="ar-SA"/>
        </w:rPr>
        <w:t>=</w:t>
      </w:r>
      <w:r w:rsidR="004D5FD7" w:rsidRPr="005865B6">
        <w:rPr>
          <w:rFonts w:eastAsia="Times New Roman" w:cs="Times New Roman"/>
          <w:b/>
          <w:bCs/>
          <w:kern w:val="0"/>
          <w:lang w:eastAsia="ar-SA"/>
        </w:rPr>
        <w:t>425.931</w:t>
      </w:r>
      <w:r w:rsidRPr="005865B6">
        <w:rPr>
          <w:rFonts w:eastAsia="Times New Roman" w:cs="Times New Roman"/>
          <w:b/>
          <w:kern w:val="0"/>
          <w:lang w:eastAsia="ar-SA"/>
        </w:rPr>
        <w:t xml:space="preserve"> kn odnose se na: </w:t>
      </w:r>
    </w:p>
    <w:p w14:paraId="74A81505" w14:textId="1BEDF022" w:rsidR="00524AB8" w:rsidRPr="005865B6" w:rsidRDefault="00524AB8" w:rsidP="003D54D6">
      <w:pPr>
        <w:widowControl/>
        <w:tabs>
          <w:tab w:val="left" w:pos="720"/>
        </w:tabs>
        <w:jc w:val="both"/>
        <w:rPr>
          <w:rFonts w:eastAsia="Times New Roman" w:cs="Times New Roman"/>
          <w:kern w:val="0"/>
          <w:lang w:eastAsia="ar-SA"/>
        </w:rPr>
      </w:pPr>
      <w:r w:rsidRPr="005865B6">
        <w:rPr>
          <w:rFonts w:eastAsia="Times New Roman" w:cs="Times New Roman"/>
          <w:kern w:val="0"/>
          <w:lang w:eastAsia="ar-SA"/>
        </w:rPr>
        <w:t>potraživanj</w:t>
      </w:r>
      <w:r w:rsidR="003D54D6" w:rsidRPr="005865B6">
        <w:rPr>
          <w:rFonts w:eastAsia="Times New Roman" w:cs="Times New Roman"/>
          <w:kern w:val="0"/>
          <w:lang w:eastAsia="ar-SA"/>
        </w:rPr>
        <w:t>a</w:t>
      </w:r>
      <w:r w:rsidRPr="005865B6">
        <w:rPr>
          <w:rFonts w:eastAsia="Times New Roman" w:cs="Times New Roman"/>
          <w:kern w:val="0"/>
          <w:lang w:eastAsia="ar-SA"/>
        </w:rPr>
        <w:t xml:space="preserve"> za </w:t>
      </w:r>
      <w:proofErr w:type="spellStart"/>
      <w:r w:rsidRPr="005865B6">
        <w:rPr>
          <w:rFonts w:eastAsia="Times New Roman" w:cs="Times New Roman"/>
          <w:kern w:val="0"/>
          <w:lang w:eastAsia="ar-SA"/>
        </w:rPr>
        <w:t>hidrorentu</w:t>
      </w:r>
      <w:proofErr w:type="spellEnd"/>
      <w:r w:rsidRPr="005865B6">
        <w:rPr>
          <w:rFonts w:eastAsia="Times New Roman" w:cs="Times New Roman"/>
          <w:kern w:val="0"/>
          <w:lang w:eastAsia="ar-SA"/>
        </w:rPr>
        <w:t xml:space="preserve">: = </w:t>
      </w:r>
      <w:r w:rsidR="003D54D6" w:rsidRPr="005865B6">
        <w:rPr>
          <w:rFonts w:eastAsia="Times New Roman" w:cs="Times New Roman"/>
          <w:kern w:val="0"/>
          <w:lang w:eastAsia="ar-SA"/>
        </w:rPr>
        <w:t>23.244</w:t>
      </w:r>
      <w:r w:rsidRPr="005865B6">
        <w:rPr>
          <w:rFonts w:eastAsia="Times New Roman" w:cs="Times New Roman"/>
          <w:kern w:val="0"/>
          <w:lang w:eastAsia="ar-SA"/>
        </w:rPr>
        <w:t xml:space="preserve"> kn</w:t>
      </w:r>
    </w:p>
    <w:p w14:paraId="6F3B5F71" w14:textId="1EFC15E8" w:rsidR="00524AB8" w:rsidRPr="005865B6" w:rsidRDefault="00524AB8" w:rsidP="003D54D6">
      <w:pPr>
        <w:widowControl/>
        <w:tabs>
          <w:tab w:val="left" w:pos="720"/>
        </w:tabs>
        <w:jc w:val="both"/>
        <w:rPr>
          <w:rFonts w:eastAsia="Times New Roman" w:cs="Times New Roman"/>
          <w:kern w:val="0"/>
          <w:lang w:eastAsia="ar-SA"/>
        </w:rPr>
      </w:pPr>
      <w:r w:rsidRPr="005865B6">
        <w:rPr>
          <w:rFonts w:eastAsia="Times New Roman" w:cs="Times New Roman"/>
          <w:kern w:val="0"/>
          <w:lang w:eastAsia="ar-SA"/>
        </w:rPr>
        <w:t>potraživanj</w:t>
      </w:r>
      <w:r w:rsidR="003D54D6" w:rsidRPr="005865B6">
        <w:rPr>
          <w:rFonts w:eastAsia="Times New Roman" w:cs="Times New Roman"/>
          <w:kern w:val="0"/>
          <w:lang w:eastAsia="ar-SA"/>
        </w:rPr>
        <w:t>a</w:t>
      </w:r>
      <w:r w:rsidRPr="005865B6">
        <w:rPr>
          <w:rFonts w:eastAsia="Times New Roman" w:cs="Times New Roman"/>
          <w:kern w:val="0"/>
          <w:lang w:eastAsia="ar-SA"/>
        </w:rPr>
        <w:t xml:space="preserve"> za </w:t>
      </w:r>
      <w:r w:rsidR="003D54D6" w:rsidRPr="005865B6">
        <w:rPr>
          <w:rFonts w:eastAsia="Times New Roman" w:cs="Times New Roman"/>
          <w:kern w:val="0"/>
          <w:lang w:eastAsia="ar-SA"/>
        </w:rPr>
        <w:t>ostale prihode od nefinancijske imovine</w:t>
      </w:r>
      <w:r w:rsidRPr="005865B6">
        <w:rPr>
          <w:rFonts w:eastAsia="Times New Roman" w:cs="Times New Roman"/>
          <w:kern w:val="0"/>
          <w:lang w:eastAsia="ar-SA"/>
        </w:rPr>
        <w:t xml:space="preserve"> =</w:t>
      </w:r>
      <w:r w:rsidR="003D54D6" w:rsidRPr="005865B6">
        <w:rPr>
          <w:rFonts w:eastAsia="Times New Roman" w:cs="Times New Roman"/>
          <w:kern w:val="0"/>
          <w:lang w:eastAsia="ar-SA"/>
        </w:rPr>
        <w:t>402.687</w:t>
      </w:r>
      <w:r w:rsidRPr="005865B6">
        <w:rPr>
          <w:rFonts w:eastAsia="Times New Roman" w:cs="Times New Roman"/>
          <w:kern w:val="0"/>
          <w:lang w:eastAsia="ar-SA"/>
        </w:rPr>
        <w:t xml:space="preserve"> kn</w:t>
      </w:r>
    </w:p>
    <w:p w14:paraId="1851B7B4" w14:textId="77777777" w:rsidR="003D54D6" w:rsidRPr="005865B6" w:rsidRDefault="003D54D6" w:rsidP="00524AB8">
      <w:pPr>
        <w:widowControl/>
        <w:tabs>
          <w:tab w:val="left" w:pos="720"/>
        </w:tabs>
        <w:ind w:left="720"/>
        <w:jc w:val="both"/>
        <w:rPr>
          <w:rFonts w:eastAsia="Times New Roman" w:cs="Times New Roman"/>
          <w:kern w:val="0"/>
          <w:lang w:eastAsia="ar-SA"/>
        </w:rPr>
      </w:pPr>
    </w:p>
    <w:p w14:paraId="720E7AE9" w14:textId="39E8160D" w:rsidR="00524AB8" w:rsidRPr="005865B6" w:rsidRDefault="00524AB8" w:rsidP="00EE4ACE">
      <w:pPr>
        <w:widowControl/>
        <w:tabs>
          <w:tab w:val="left" w:pos="360"/>
        </w:tabs>
        <w:jc w:val="both"/>
        <w:rPr>
          <w:rFonts w:eastAsia="Times New Roman" w:cs="Times New Roman"/>
          <w:b/>
          <w:bCs/>
          <w:kern w:val="0"/>
          <w:lang w:eastAsia="ar-SA"/>
        </w:rPr>
      </w:pPr>
      <w:r w:rsidRPr="005865B6">
        <w:rPr>
          <w:rFonts w:eastAsia="Times New Roman" w:cs="Times New Roman"/>
          <w:b/>
          <w:bCs/>
          <w:kern w:val="0"/>
          <w:lang w:eastAsia="ar-SA"/>
        </w:rPr>
        <w:t>(AOP 15</w:t>
      </w:r>
      <w:r w:rsidR="00EE4ACE" w:rsidRPr="005865B6">
        <w:rPr>
          <w:rFonts w:eastAsia="Times New Roman" w:cs="Times New Roman"/>
          <w:b/>
          <w:bCs/>
          <w:kern w:val="0"/>
          <w:lang w:eastAsia="ar-SA"/>
        </w:rPr>
        <w:t>4</w:t>
      </w:r>
      <w:r w:rsidRPr="005865B6">
        <w:rPr>
          <w:rFonts w:eastAsia="Times New Roman" w:cs="Times New Roman"/>
          <w:b/>
          <w:bCs/>
          <w:kern w:val="0"/>
          <w:lang w:eastAsia="ar-SA"/>
        </w:rPr>
        <w:t>) – Račun 165 - potraživanja za upravne i adm. pristojbe:=</w:t>
      </w:r>
      <w:r w:rsidR="00EE4ACE" w:rsidRPr="005865B6">
        <w:rPr>
          <w:rFonts w:eastAsia="Times New Roman" w:cs="Times New Roman"/>
          <w:b/>
          <w:bCs/>
          <w:kern w:val="0"/>
          <w:lang w:eastAsia="ar-SA"/>
        </w:rPr>
        <w:t>45.453</w:t>
      </w:r>
      <w:r w:rsidRPr="005865B6">
        <w:rPr>
          <w:rFonts w:eastAsia="Times New Roman" w:cs="Times New Roman"/>
          <w:b/>
          <w:bCs/>
          <w:kern w:val="0"/>
          <w:lang w:eastAsia="ar-SA"/>
        </w:rPr>
        <w:t xml:space="preserve"> odnose se na:</w:t>
      </w:r>
      <w:r w:rsidRPr="005865B6">
        <w:rPr>
          <w:rFonts w:eastAsia="Times New Roman" w:cs="Times New Roman"/>
          <w:kern w:val="0"/>
          <w:lang w:eastAsia="ar-SA"/>
        </w:rPr>
        <w:t xml:space="preserve">  </w:t>
      </w:r>
    </w:p>
    <w:p w14:paraId="5AD48361" w14:textId="77777777" w:rsidR="00EE4ACE" w:rsidRPr="005865B6" w:rsidRDefault="00524AB8" w:rsidP="00EE4ACE">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potraživanja za grobnu naknadu:=</w:t>
      </w:r>
      <w:r w:rsidR="00EE4ACE" w:rsidRPr="005865B6">
        <w:rPr>
          <w:rFonts w:eastAsia="Times New Roman" w:cs="Times New Roman"/>
          <w:kern w:val="0"/>
          <w:lang w:eastAsia="ar-SA"/>
        </w:rPr>
        <w:t>3.115</w:t>
      </w:r>
      <w:r w:rsidRPr="005865B6">
        <w:rPr>
          <w:rFonts w:eastAsia="Times New Roman" w:cs="Times New Roman"/>
          <w:kern w:val="0"/>
          <w:lang w:eastAsia="ar-SA"/>
        </w:rPr>
        <w:t xml:space="preserve"> kn </w:t>
      </w:r>
    </w:p>
    <w:p w14:paraId="0652FF75" w14:textId="40DC3470" w:rsidR="00524AB8" w:rsidRPr="005865B6" w:rsidRDefault="00524AB8" w:rsidP="00EE4ACE">
      <w:pPr>
        <w:widowControl/>
        <w:tabs>
          <w:tab w:val="left" w:pos="360"/>
        </w:tabs>
        <w:jc w:val="both"/>
        <w:rPr>
          <w:rFonts w:eastAsia="Times New Roman" w:cs="Times New Roman"/>
          <w:kern w:val="0"/>
          <w:lang w:eastAsia="ar-SA"/>
        </w:rPr>
      </w:pPr>
      <w:r w:rsidRPr="005865B6">
        <w:rPr>
          <w:rFonts w:eastAsia="Times New Roman" w:cs="Times New Roman"/>
          <w:kern w:val="0"/>
          <w:lang w:eastAsia="ar-SA"/>
        </w:rPr>
        <w:t>potraživanje za komunalnu naknadu: =4</w:t>
      </w:r>
      <w:r w:rsidR="00EE4ACE" w:rsidRPr="005865B6">
        <w:rPr>
          <w:rFonts w:eastAsia="Times New Roman" w:cs="Times New Roman"/>
          <w:kern w:val="0"/>
          <w:lang w:eastAsia="ar-SA"/>
        </w:rPr>
        <w:t>2.338</w:t>
      </w:r>
      <w:r w:rsidRPr="005865B6">
        <w:rPr>
          <w:rFonts w:eastAsia="Times New Roman" w:cs="Times New Roman"/>
          <w:kern w:val="0"/>
          <w:lang w:eastAsia="ar-SA"/>
        </w:rPr>
        <w:t xml:space="preserve"> kn</w:t>
      </w:r>
    </w:p>
    <w:p w14:paraId="391EE20D" w14:textId="77777777" w:rsidR="00524AB8" w:rsidRPr="005865B6" w:rsidRDefault="00524AB8" w:rsidP="00524AB8">
      <w:pPr>
        <w:widowControl/>
        <w:tabs>
          <w:tab w:val="left" w:pos="360"/>
        </w:tabs>
        <w:ind w:left="360"/>
        <w:jc w:val="both"/>
        <w:rPr>
          <w:rFonts w:eastAsia="Times New Roman" w:cs="Times New Roman"/>
          <w:kern w:val="0"/>
          <w:lang w:eastAsia="ar-SA"/>
        </w:rPr>
      </w:pPr>
      <w:r w:rsidRPr="005865B6">
        <w:rPr>
          <w:rFonts w:eastAsia="Times New Roman" w:cs="Times New Roman"/>
          <w:kern w:val="0"/>
          <w:lang w:eastAsia="ar-SA"/>
        </w:rPr>
        <w:t xml:space="preserve"> </w:t>
      </w:r>
    </w:p>
    <w:p w14:paraId="22E7947D" w14:textId="7A674040" w:rsidR="00524AB8" w:rsidRPr="005865B6" w:rsidRDefault="00524AB8" w:rsidP="00FD0D53">
      <w:pPr>
        <w:widowControl/>
        <w:tabs>
          <w:tab w:val="left" w:pos="720"/>
        </w:tabs>
        <w:jc w:val="both"/>
        <w:rPr>
          <w:rFonts w:eastAsia="Times New Roman" w:cs="Times New Roman"/>
          <w:bCs/>
          <w:kern w:val="0"/>
          <w:lang w:eastAsia="ar-SA"/>
        </w:rPr>
      </w:pPr>
      <w:r w:rsidRPr="005865B6">
        <w:rPr>
          <w:rFonts w:eastAsia="Times New Roman" w:cs="Times New Roman"/>
          <w:b/>
          <w:kern w:val="0"/>
          <w:lang w:eastAsia="ar-SA"/>
        </w:rPr>
        <w:t>(AOP 15</w:t>
      </w:r>
      <w:r w:rsidR="00FD0D53" w:rsidRPr="005865B6">
        <w:rPr>
          <w:rFonts w:eastAsia="Times New Roman" w:cs="Times New Roman"/>
          <w:b/>
          <w:kern w:val="0"/>
          <w:lang w:eastAsia="ar-SA"/>
        </w:rPr>
        <w:t>8</w:t>
      </w:r>
      <w:r w:rsidRPr="005865B6">
        <w:rPr>
          <w:rFonts w:eastAsia="Times New Roman" w:cs="Times New Roman"/>
          <w:b/>
          <w:kern w:val="0"/>
          <w:lang w:eastAsia="ar-SA"/>
        </w:rPr>
        <w:t>) – Račun 169 – ispravak vrijednosti potraživanja</w:t>
      </w:r>
      <w:r w:rsidRPr="005865B6">
        <w:rPr>
          <w:rFonts w:eastAsia="Times New Roman" w:cs="Times New Roman"/>
          <w:bCs/>
          <w:kern w:val="0"/>
          <w:lang w:eastAsia="ar-SA"/>
        </w:rPr>
        <w:t xml:space="preserve"> u ukupnom iznosu od </w:t>
      </w:r>
      <w:r w:rsidR="00FD0D53" w:rsidRPr="005865B6">
        <w:rPr>
          <w:rFonts w:eastAsia="Times New Roman" w:cs="Times New Roman"/>
          <w:bCs/>
          <w:kern w:val="0"/>
          <w:lang w:eastAsia="ar-SA"/>
        </w:rPr>
        <w:t>29.638</w:t>
      </w:r>
      <w:r w:rsidRPr="005865B6">
        <w:rPr>
          <w:rFonts w:eastAsia="Times New Roman" w:cs="Times New Roman"/>
          <w:bCs/>
          <w:kern w:val="0"/>
          <w:lang w:eastAsia="ar-SA"/>
        </w:rPr>
        <w:t xml:space="preserve"> kn.</w:t>
      </w:r>
    </w:p>
    <w:p w14:paraId="29384253" w14:textId="77777777" w:rsidR="00524AB8" w:rsidRPr="005865B6" w:rsidRDefault="00524AB8" w:rsidP="00FD0D53">
      <w:pPr>
        <w:widowControl/>
        <w:tabs>
          <w:tab w:val="left" w:pos="720"/>
        </w:tabs>
        <w:jc w:val="both"/>
        <w:rPr>
          <w:rFonts w:eastAsia="Times New Roman" w:cs="Times New Roman"/>
          <w:bCs/>
          <w:kern w:val="0"/>
          <w:lang w:eastAsia="ar-SA"/>
        </w:rPr>
      </w:pPr>
      <w:r w:rsidRPr="005865B6">
        <w:rPr>
          <w:rFonts w:eastAsia="Times New Roman" w:cs="Times New Roman"/>
          <w:bCs/>
          <w:kern w:val="0"/>
          <w:lang w:eastAsia="ar-SA"/>
        </w:rPr>
        <w:t>Temeljem zakonskih odredbi napravljen je ispravak vrijednosti potraživanja.</w:t>
      </w:r>
    </w:p>
    <w:p w14:paraId="6E55257E" w14:textId="77777777" w:rsidR="00524AB8" w:rsidRPr="005865B6" w:rsidRDefault="00524AB8" w:rsidP="00FD0D53">
      <w:pPr>
        <w:widowControl/>
        <w:tabs>
          <w:tab w:val="left" w:pos="720"/>
        </w:tabs>
        <w:jc w:val="both"/>
        <w:rPr>
          <w:rFonts w:eastAsia="Times New Roman" w:cs="Times New Roman"/>
          <w:bCs/>
          <w:kern w:val="0"/>
          <w:lang w:eastAsia="ar-SA"/>
        </w:rPr>
      </w:pPr>
      <w:r w:rsidRPr="005865B6">
        <w:rPr>
          <w:rFonts w:eastAsia="Times New Roman" w:cs="Times New Roman"/>
          <w:bCs/>
          <w:kern w:val="0"/>
          <w:lang w:eastAsia="ar-SA"/>
        </w:rPr>
        <w:t>Provedena su knjiženja 96/169.</w:t>
      </w:r>
    </w:p>
    <w:p w14:paraId="4EFF5CE8" w14:textId="77777777" w:rsidR="00524AB8" w:rsidRPr="005865B6" w:rsidRDefault="00524AB8" w:rsidP="00AB6B0A">
      <w:pPr>
        <w:widowControl/>
        <w:tabs>
          <w:tab w:val="left" w:pos="720"/>
        </w:tabs>
        <w:jc w:val="both"/>
        <w:rPr>
          <w:rFonts w:eastAsia="Times New Roman" w:cs="Times New Roman"/>
          <w:b/>
          <w:kern w:val="0"/>
          <w:lang w:eastAsia="ar-SA"/>
        </w:rPr>
      </w:pPr>
    </w:p>
    <w:p w14:paraId="18D3FDA1" w14:textId="1858CE70" w:rsidR="003F3459" w:rsidRPr="005865B6" w:rsidRDefault="003F3459" w:rsidP="003F3459">
      <w:pPr>
        <w:widowControl/>
        <w:jc w:val="both"/>
        <w:textAlignment w:val="auto"/>
        <w:rPr>
          <w:rFonts w:eastAsia="Times New Roman" w:cs="Times New Roman"/>
          <w:b/>
          <w:bCs/>
          <w:kern w:val="0"/>
          <w:lang w:eastAsia="ar-SA"/>
        </w:rPr>
      </w:pPr>
      <w:r w:rsidRPr="005865B6">
        <w:rPr>
          <w:rFonts w:eastAsia="Times New Roman" w:cs="Times New Roman"/>
          <w:b/>
          <w:bCs/>
          <w:kern w:val="0"/>
          <w:lang w:eastAsia="ar-SA"/>
        </w:rPr>
        <w:t>AOP 170 - OBVEZE</w:t>
      </w:r>
    </w:p>
    <w:p w14:paraId="17B5BF97" w14:textId="77777777" w:rsidR="003F3459" w:rsidRPr="005865B6" w:rsidRDefault="003F3459" w:rsidP="003F3459">
      <w:pPr>
        <w:widowControl/>
        <w:tabs>
          <w:tab w:val="left" w:pos="1440"/>
        </w:tabs>
        <w:ind w:left="720"/>
        <w:jc w:val="both"/>
        <w:rPr>
          <w:rFonts w:eastAsia="Times New Roman" w:cs="Times New Roman"/>
          <w:b/>
          <w:bCs/>
          <w:kern w:val="0"/>
          <w:lang w:eastAsia="ar-SA"/>
        </w:rPr>
      </w:pPr>
    </w:p>
    <w:p w14:paraId="3283BCE1" w14:textId="5F5E3F5B" w:rsidR="003F3459" w:rsidRPr="005865B6" w:rsidRDefault="003F3459" w:rsidP="003F3459">
      <w:pPr>
        <w:widowControl/>
        <w:tabs>
          <w:tab w:val="left" w:pos="0"/>
        </w:tabs>
        <w:jc w:val="both"/>
        <w:rPr>
          <w:rFonts w:eastAsia="Times New Roman" w:cs="Times New Roman"/>
          <w:b/>
          <w:bCs/>
          <w:kern w:val="0"/>
          <w:lang w:eastAsia="ar-SA"/>
        </w:rPr>
      </w:pPr>
      <w:r w:rsidRPr="005865B6">
        <w:rPr>
          <w:rFonts w:eastAsia="Times New Roman" w:cs="Times New Roman"/>
          <w:b/>
          <w:bCs/>
          <w:kern w:val="0"/>
          <w:lang w:eastAsia="ar-SA"/>
        </w:rPr>
        <w:t xml:space="preserve">Obveze u ukupnom iznosu od =3.280.178 odnose se na: </w:t>
      </w:r>
    </w:p>
    <w:p w14:paraId="0F5EDB86" w14:textId="7DC93E0E" w:rsidR="003F3459" w:rsidRPr="005865B6" w:rsidRDefault="003F3459" w:rsidP="003F3459">
      <w:pPr>
        <w:widowControl/>
        <w:tabs>
          <w:tab w:val="left" w:pos="720"/>
        </w:tabs>
        <w:ind w:left="720"/>
        <w:jc w:val="both"/>
        <w:rPr>
          <w:rFonts w:eastAsia="Times New Roman" w:cs="Times New Roman"/>
          <w:kern w:val="0"/>
          <w:lang w:eastAsia="ar-SA"/>
        </w:rPr>
      </w:pPr>
      <w:r w:rsidRPr="005865B6">
        <w:rPr>
          <w:rFonts w:eastAsia="Times New Roman" w:cs="Times New Roman"/>
          <w:b/>
          <w:bCs/>
          <w:kern w:val="0"/>
          <w:lang w:eastAsia="ar-SA"/>
        </w:rPr>
        <w:t>(AOP 172)</w:t>
      </w:r>
      <w:r w:rsidRPr="005865B6">
        <w:rPr>
          <w:rFonts w:eastAsia="Times New Roman" w:cs="Times New Roman"/>
          <w:kern w:val="0"/>
          <w:lang w:eastAsia="ar-SA"/>
        </w:rPr>
        <w:t xml:space="preserve"> - obveze za zaposlene: =47.263 kn</w:t>
      </w:r>
    </w:p>
    <w:p w14:paraId="45186744" w14:textId="7B5F2C4C" w:rsidR="003F3459" w:rsidRPr="005865B6" w:rsidRDefault="003F3459" w:rsidP="003F3459">
      <w:pPr>
        <w:widowControl/>
        <w:tabs>
          <w:tab w:val="left" w:pos="720"/>
        </w:tabs>
        <w:ind w:left="720"/>
        <w:jc w:val="both"/>
        <w:rPr>
          <w:rFonts w:eastAsia="Times New Roman" w:cs="Times New Roman"/>
          <w:kern w:val="0"/>
          <w:lang w:eastAsia="ar-SA"/>
        </w:rPr>
      </w:pPr>
      <w:r w:rsidRPr="005865B6">
        <w:rPr>
          <w:rFonts w:eastAsia="Times New Roman" w:cs="Times New Roman"/>
          <w:b/>
          <w:bCs/>
          <w:kern w:val="0"/>
          <w:lang w:eastAsia="ar-SA"/>
        </w:rPr>
        <w:t xml:space="preserve">(AOP 173) </w:t>
      </w:r>
      <w:r w:rsidRPr="005865B6">
        <w:rPr>
          <w:rFonts w:eastAsia="Times New Roman" w:cs="Times New Roman"/>
          <w:kern w:val="0"/>
          <w:lang w:eastAsia="ar-SA"/>
        </w:rPr>
        <w:t>– obveze za materijalne rashode: =60.016 kn</w:t>
      </w:r>
    </w:p>
    <w:p w14:paraId="543E8666" w14:textId="1E9DBBA0" w:rsidR="003F3459" w:rsidRPr="005865B6" w:rsidRDefault="003F3459" w:rsidP="003F3459">
      <w:pPr>
        <w:widowControl/>
        <w:tabs>
          <w:tab w:val="left" w:pos="720"/>
        </w:tabs>
        <w:ind w:left="720"/>
        <w:jc w:val="both"/>
        <w:rPr>
          <w:rFonts w:eastAsia="Times New Roman" w:cs="Times New Roman"/>
          <w:kern w:val="0"/>
          <w:lang w:eastAsia="ar-SA"/>
        </w:rPr>
      </w:pPr>
      <w:r w:rsidRPr="005865B6">
        <w:rPr>
          <w:rFonts w:eastAsia="Times New Roman" w:cs="Times New Roman"/>
          <w:b/>
          <w:bCs/>
          <w:kern w:val="0"/>
          <w:lang w:eastAsia="ar-SA"/>
        </w:rPr>
        <w:t xml:space="preserve">(AOP 174) </w:t>
      </w:r>
      <w:r w:rsidRPr="005865B6">
        <w:rPr>
          <w:rFonts w:eastAsia="Times New Roman" w:cs="Times New Roman"/>
          <w:kern w:val="0"/>
          <w:lang w:eastAsia="ar-SA"/>
        </w:rPr>
        <w:t>– obveze za financijske rashode: =1.087 kn</w:t>
      </w:r>
    </w:p>
    <w:p w14:paraId="12DD9D17" w14:textId="428B2B19" w:rsidR="003F3459" w:rsidRPr="005865B6" w:rsidRDefault="003F3459" w:rsidP="003F3459">
      <w:pPr>
        <w:widowControl/>
        <w:tabs>
          <w:tab w:val="left" w:pos="720"/>
        </w:tabs>
        <w:ind w:left="720"/>
        <w:jc w:val="both"/>
        <w:rPr>
          <w:rFonts w:eastAsia="Times New Roman" w:cs="Times New Roman"/>
          <w:kern w:val="0"/>
          <w:lang w:eastAsia="ar-SA"/>
        </w:rPr>
      </w:pPr>
      <w:r w:rsidRPr="005865B6">
        <w:rPr>
          <w:rFonts w:eastAsia="Times New Roman" w:cs="Times New Roman"/>
          <w:b/>
          <w:bCs/>
          <w:kern w:val="0"/>
          <w:lang w:eastAsia="ar-SA"/>
        </w:rPr>
        <w:t xml:space="preserve">(AOP 178) </w:t>
      </w:r>
      <w:r w:rsidRPr="005865B6">
        <w:rPr>
          <w:rFonts w:eastAsia="Times New Roman" w:cs="Times New Roman"/>
          <w:kern w:val="0"/>
          <w:lang w:eastAsia="ar-SA"/>
        </w:rPr>
        <w:t>– obveze za subvencije: =7.929 kn</w:t>
      </w:r>
    </w:p>
    <w:p w14:paraId="211816E7" w14:textId="3AE3FC31" w:rsidR="005B1A44" w:rsidRPr="005865B6" w:rsidRDefault="003F3459" w:rsidP="003F3459">
      <w:pPr>
        <w:widowControl/>
        <w:tabs>
          <w:tab w:val="left" w:pos="720"/>
        </w:tabs>
        <w:jc w:val="both"/>
        <w:rPr>
          <w:rFonts w:eastAsia="Times New Roman" w:cs="Times New Roman"/>
          <w:kern w:val="0"/>
          <w:lang w:eastAsia="ar-SA"/>
        </w:rPr>
      </w:pPr>
      <w:r w:rsidRPr="005865B6">
        <w:rPr>
          <w:rFonts w:eastAsia="Times New Roman" w:cs="Times New Roman"/>
          <w:b/>
          <w:bCs/>
          <w:kern w:val="0"/>
          <w:lang w:eastAsia="ar-SA"/>
        </w:rPr>
        <w:tab/>
        <w:t xml:space="preserve">(AOP 182) – </w:t>
      </w:r>
      <w:r w:rsidRPr="005865B6">
        <w:rPr>
          <w:rFonts w:eastAsia="Times New Roman" w:cs="Times New Roman"/>
          <w:kern w:val="0"/>
          <w:lang w:eastAsia="ar-SA"/>
        </w:rPr>
        <w:t>ostale tekuće obveze: =401.834 kn</w:t>
      </w:r>
    </w:p>
    <w:p w14:paraId="574EBC4A" w14:textId="4274F801" w:rsidR="00B25C43" w:rsidRPr="005865B6" w:rsidRDefault="00B25C43" w:rsidP="003F3459">
      <w:pPr>
        <w:widowControl/>
        <w:tabs>
          <w:tab w:val="left" w:pos="720"/>
        </w:tabs>
        <w:jc w:val="both"/>
        <w:rPr>
          <w:rFonts w:eastAsia="Times New Roman" w:cs="Times New Roman"/>
          <w:kern w:val="0"/>
          <w:lang w:eastAsia="ar-SA"/>
        </w:rPr>
      </w:pPr>
      <w:r w:rsidRPr="005865B6">
        <w:rPr>
          <w:rFonts w:eastAsia="Times New Roman" w:cs="Times New Roman"/>
          <w:b/>
          <w:bCs/>
          <w:kern w:val="0"/>
          <w:lang w:eastAsia="ar-SA"/>
        </w:rPr>
        <w:tab/>
        <w:t>(AOP 183)</w:t>
      </w:r>
      <w:r w:rsidRPr="005865B6">
        <w:rPr>
          <w:rFonts w:eastAsia="Times New Roman" w:cs="Times New Roman"/>
          <w:kern w:val="0"/>
          <w:lang w:eastAsia="ar-SA"/>
        </w:rPr>
        <w:t xml:space="preserve"> – obveze za nabavu nefinancijske imovine: =901.087</w:t>
      </w:r>
    </w:p>
    <w:p w14:paraId="3AC4A9A0" w14:textId="67919611" w:rsidR="00C615C5" w:rsidRPr="005865B6" w:rsidRDefault="003F3459" w:rsidP="00C615C5">
      <w:pPr>
        <w:widowControl/>
        <w:tabs>
          <w:tab w:val="left" w:pos="720"/>
        </w:tabs>
        <w:ind w:left="720"/>
        <w:jc w:val="both"/>
        <w:rPr>
          <w:rFonts w:eastAsia="Times New Roman" w:cs="Times New Roman"/>
          <w:kern w:val="0"/>
          <w:lang w:eastAsia="ar-SA"/>
        </w:rPr>
      </w:pPr>
      <w:r w:rsidRPr="005865B6">
        <w:rPr>
          <w:rFonts w:eastAsia="Times New Roman" w:cs="Times New Roman"/>
          <w:b/>
          <w:bCs/>
          <w:kern w:val="0"/>
          <w:lang w:eastAsia="ar-SA"/>
        </w:rPr>
        <w:t xml:space="preserve">(AOP 200) – </w:t>
      </w:r>
      <w:r w:rsidRPr="005865B6">
        <w:rPr>
          <w:rFonts w:eastAsia="Times New Roman" w:cs="Times New Roman"/>
          <w:kern w:val="0"/>
          <w:lang w:eastAsia="ar-SA"/>
        </w:rPr>
        <w:t>obveze za kredite i zajmove: =1.860.962 k</w:t>
      </w:r>
      <w:r w:rsidR="00B01DEF" w:rsidRPr="005865B6">
        <w:rPr>
          <w:rFonts w:eastAsia="Times New Roman" w:cs="Times New Roman"/>
          <w:kern w:val="0"/>
          <w:lang w:eastAsia="ar-SA"/>
        </w:rPr>
        <w:t>n</w:t>
      </w:r>
    </w:p>
    <w:p w14:paraId="5736E609" w14:textId="7023DBA1" w:rsidR="00C615C5" w:rsidRPr="005865B6" w:rsidRDefault="00C615C5" w:rsidP="00C615C5">
      <w:pPr>
        <w:widowControl/>
        <w:tabs>
          <w:tab w:val="left" w:pos="720"/>
        </w:tabs>
        <w:ind w:left="720"/>
        <w:jc w:val="both"/>
        <w:rPr>
          <w:rFonts w:eastAsia="Times New Roman" w:cs="Times New Roman"/>
          <w:kern w:val="0"/>
          <w:lang w:eastAsia="ar-SA"/>
        </w:rPr>
      </w:pPr>
    </w:p>
    <w:p w14:paraId="7F58C8EC" w14:textId="1D5AED5B" w:rsidR="00C615C5" w:rsidRPr="005865B6" w:rsidRDefault="00C615C5" w:rsidP="00C615C5">
      <w:pPr>
        <w:widowControl/>
        <w:tabs>
          <w:tab w:val="left" w:pos="720"/>
        </w:tabs>
        <w:jc w:val="both"/>
        <w:rPr>
          <w:rFonts w:eastAsia="Times New Roman" w:cs="Times New Roman"/>
          <w:kern w:val="0"/>
          <w:lang w:eastAsia="ar-SA"/>
        </w:rPr>
      </w:pPr>
      <w:r w:rsidRPr="005865B6">
        <w:rPr>
          <w:rFonts w:eastAsia="Times New Roman" w:cs="Times New Roman"/>
          <w:kern w:val="0"/>
          <w:lang w:eastAsia="ar-SA"/>
        </w:rPr>
        <w:t>Općina Veliki Bukovec nema ugovornih odnosa i slično koji bi uz ispunjenje određenih uvjeta mogli postati obveza ili imovina, niti sudskih sporova</w:t>
      </w:r>
      <w:r w:rsidR="000E266C" w:rsidRPr="005865B6">
        <w:rPr>
          <w:rFonts w:eastAsia="Times New Roman" w:cs="Times New Roman"/>
          <w:kern w:val="0"/>
          <w:lang w:eastAsia="ar-SA"/>
        </w:rPr>
        <w:t xml:space="preserve"> u tijeku.</w:t>
      </w:r>
    </w:p>
    <w:p w14:paraId="17FE301A" w14:textId="77777777" w:rsidR="00C615C5" w:rsidRPr="005865B6" w:rsidRDefault="00C615C5" w:rsidP="00C615C5">
      <w:pPr>
        <w:widowControl/>
        <w:tabs>
          <w:tab w:val="left" w:pos="720"/>
        </w:tabs>
        <w:ind w:left="720"/>
        <w:jc w:val="both"/>
        <w:rPr>
          <w:rFonts w:eastAsia="Times New Roman" w:cs="Times New Roman"/>
          <w:kern w:val="0"/>
          <w:lang w:eastAsia="ar-SA"/>
        </w:rPr>
      </w:pPr>
    </w:p>
    <w:p w14:paraId="038CA136" w14:textId="77777777" w:rsidR="00752D62" w:rsidRDefault="00752D62" w:rsidP="003C3561">
      <w:pPr>
        <w:jc w:val="center"/>
        <w:rPr>
          <w:b/>
          <w:bCs/>
        </w:rPr>
      </w:pPr>
    </w:p>
    <w:p w14:paraId="4523FA14" w14:textId="77777777" w:rsidR="00752D62" w:rsidRDefault="00752D62" w:rsidP="003C3561">
      <w:pPr>
        <w:jc w:val="center"/>
        <w:rPr>
          <w:b/>
          <w:bCs/>
        </w:rPr>
      </w:pPr>
    </w:p>
    <w:p w14:paraId="27A94A31" w14:textId="77777777" w:rsidR="00752D62" w:rsidRDefault="00752D62" w:rsidP="003C3561">
      <w:pPr>
        <w:jc w:val="center"/>
        <w:rPr>
          <w:b/>
          <w:bCs/>
        </w:rPr>
      </w:pPr>
    </w:p>
    <w:p w14:paraId="42B675A2" w14:textId="77777777" w:rsidR="00752D62" w:rsidRDefault="00752D62" w:rsidP="003C3561">
      <w:pPr>
        <w:jc w:val="center"/>
        <w:rPr>
          <w:b/>
          <w:bCs/>
        </w:rPr>
      </w:pPr>
    </w:p>
    <w:p w14:paraId="5D1D7CEB" w14:textId="77777777" w:rsidR="00752D62" w:rsidRDefault="00752D62" w:rsidP="003C3561">
      <w:pPr>
        <w:jc w:val="center"/>
        <w:rPr>
          <w:b/>
          <w:bCs/>
        </w:rPr>
      </w:pPr>
    </w:p>
    <w:p w14:paraId="02CEF1C7" w14:textId="77777777" w:rsidR="00752D62" w:rsidRDefault="00752D62" w:rsidP="003C3561">
      <w:pPr>
        <w:jc w:val="center"/>
        <w:rPr>
          <w:b/>
          <w:bCs/>
        </w:rPr>
      </w:pPr>
    </w:p>
    <w:p w14:paraId="12393E79" w14:textId="77777777" w:rsidR="00752D62" w:rsidRDefault="00752D62" w:rsidP="003C3561">
      <w:pPr>
        <w:jc w:val="center"/>
        <w:rPr>
          <w:b/>
          <w:bCs/>
        </w:rPr>
      </w:pPr>
    </w:p>
    <w:p w14:paraId="5BE02BEB" w14:textId="77777777" w:rsidR="00752D62" w:rsidRDefault="00752D62" w:rsidP="003C3561">
      <w:pPr>
        <w:jc w:val="center"/>
        <w:rPr>
          <w:b/>
          <w:bCs/>
        </w:rPr>
      </w:pPr>
    </w:p>
    <w:p w14:paraId="581F1EC7" w14:textId="77777777" w:rsidR="00752D62" w:rsidRDefault="00752D62" w:rsidP="003C3561">
      <w:pPr>
        <w:jc w:val="center"/>
        <w:rPr>
          <w:b/>
          <w:bCs/>
        </w:rPr>
      </w:pPr>
    </w:p>
    <w:p w14:paraId="5A7E1638" w14:textId="77777777" w:rsidR="00752D62" w:rsidRDefault="00752D62" w:rsidP="003C3561">
      <w:pPr>
        <w:jc w:val="center"/>
        <w:rPr>
          <w:b/>
          <w:bCs/>
        </w:rPr>
      </w:pPr>
    </w:p>
    <w:p w14:paraId="61662C80" w14:textId="77777777" w:rsidR="00752D62" w:rsidRDefault="00752D62" w:rsidP="003C3561">
      <w:pPr>
        <w:jc w:val="center"/>
        <w:rPr>
          <w:b/>
          <w:bCs/>
        </w:rPr>
      </w:pPr>
    </w:p>
    <w:p w14:paraId="1E08F3D4" w14:textId="2CF22AF1" w:rsidR="003C3561" w:rsidRPr="005865B6" w:rsidRDefault="003C3561" w:rsidP="003C3561">
      <w:pPr>
        <w:jc w:val="center"/>
        <w:rPr>
          <w:b/>
          <w:bCs/>
        </w:rPr>
      </w:pPr>
      <w:r w:rsidRPr="005865B6">
        <w:rPr>
          <w:b/>
          <w:bCs/>
        </w:rPr>
        <w:t xml:space="preserve">BILJEŠKE UZ OBRAZAC OBVEZE </w:t>
      </w:r>
    </w:p>
    <w:p w14:paraId="587EC70F" w14:textId="77777777" w:rsidR="003C3561" w:rsidRPr="005865B6" w:rsidRDefault="003C3561" w:rsidP="003C3561">
      <w:pPr>
        <w:jc w:val="center"/>
      </w:pPr>
      <w:r w:rsidRPr="005865B6">
        <w:t>za razdoblje od 01.01.2021.  do 31.12.2021. godine</w:t>
      </w:r>
    </w:p>
    <w:p w14:paraId="12A76963" w14:textId="77777777" w:rsidR="003C3561" w:rsidRPr="005865B6" w:rsidRDefault="003C3561" w:rsidP="003C3561">
      <w:pPr>
        <w:jc w:val="center"/>
      </w:pPr>
    </w:p>
    <w:p w14:paraId="3B82B3C3" w14:textId="77777777" w:rsidR="003C3561" w:rsidRPr="005865B6" w:rsidRDefault="003C3561" w:rsidP="003C3561">
      <w:pPr>
        <w:pStyle w:val="Standard"/>
        <w:jc w:val="both"/>
        <w:rPr>
          <w:rFonts w:cs="Arial"/>
        </w:rPr>
      </w:pPr>
      <w:r w:rsidRPr="005865B6">
        <w:rPr>
          <w:rFonts w:cs="Arial"/>
          <w:b/>
        </w:rPr>
        <w:t>AOP 001 -</w:t>
      </w:r>
      <w:r w:rsidRPr="005865B6">
        <w:rPr>
          <w:rFonts w:cs="Arial"/>
        </w:rPr>
        <w:t xml:space="preserve"> Stanje obveza iskazno na dan 01.01.2021. godine iznosi 620.563 kn</w:t>
      </w:r>
    </w:p>
    <w:p w14:paraId="20370D8B" w14:textId="77777777" w:rsidR="003C3561" w:rsidRPr="005865B6" w:rsidRDefault="003C3561" w:rsidP="003C3561">
      <w:pPr>
        <w:pStyle w:val="Standard"/>
        <w:jc w:val="both"/>
        <w:rPr>
          <w:rFonts w:cs="Arial"/>
        </w:rPr>
      </w:pPr>
      <w:r w:rsidRPr="005865B6">
        <w:rPr>
          <w:rFonts w:cs="Arial"/>
          <w:b/>
        </w:rPr>
        <w:t>AOP 038</w:t>
      </w:r>
      <w:r w:rsidRPr="005865B6">
        <w:rPr>
          <w:rFonts w:cs="Arial"/>
        </w:rPr>
        <w:t xml:space="preserve"> - Stanje obveza na kraju izvještajnog razdoblja iznosi 3.280.178 kn</w:t>
      </w:r>
    </w:p>
    <w:p w14:paraId="7B0F4ED5" w14:textId="77777777" w:rsidR="003C3561" w:rsidRPr="005865B6" w:rsidRDefault="003C3561" w:rsidP="003C3561">
      <w:pPr>
        <w:pStyle w:val="Standard"/>
        <w:jc w:val="both"/>
        <w:rPr>
          <w:rFonts w:cs="Arial"/>
          <w:b/>
          <w:bCs/>
        </w:rPr>
      </w:pPr>
    </w:p>
    <w:p w14:paraId="15502A35" w14:textId="77777777" w:rsidR="003C3561" w:rsidRPr="005865B6" w:rsidRDefault="003C3561" w:rsidP="003C3561">
      <w:pPr>
        <w:pStyle w:val="Standard"/>
        <w:jc w:val="both"/>
        <w:rPr>
          <w:rFonts w:cs="Arial"/>
        </w:rPr>
      </w:pPr>
      <w:r w:rsidRPr="005865B6">
        <w:rPr>
          <w:rFonts w:cs="Arial"/>
          <w:b/>
          <w:bCs/>
        </w:rPr>
        <w:t>AOP 039</w:t>
      </w:r>
      <w:r w:rsidRPr="005865B6">
        <w:rPr>
          <w:rFonts w:cs="Arial"/>
        </w:rPr>
        <w:t xml:space="preserve"> – Stanje dospjelih obveza iznosi 7.620 kn</w:t>
      </w:r>
    </w:p>
    <w:p w14:paraId="3F6FEB3A" w14:textId="77777777" w:rsidR="003C3561" w:rsidRPr="005865B6" w:rsidRDefault="003C3561" w:rsidP="003C3561">
      <w:pPr>
        <w:pStyle w:val="Standard"/>
        <w:jc w:val="both"/>
        <w:rPr>
          <w:rFonts w:cs="Arial"/>
        </w:rPr>
      </w:pPr>
      <w:r w:rsidRPr="005865B6">
        <w:rPr>
          <w:rFonts w:cs="Arial"/>
        </w:rPr>
        <w:t>Odnosi se na obveze prema dobavljačima.</w:t>
      </w:r>
    </w:p>
    <w:p w14:paraId="439FDDD9" w14:textId="77777777" w:rsidR="003C3561" w:rsidRPr="005865B6" w:rsidRDefault="003C3561" w:rsidP="003C3561">
      <w:pPr>
        <w:pStyle w:val="Standard"/>
        <w:jc w:val="both"/>
        <w:rPr>
          <w:rFonts w:cs="Arial"/>
        </w:rPr>
      </w:pPr>
    </w:p>
    <w:p w14:paraId="670E9623" w14:textId="77777777" w:rsidR="003C3561" w:rsidRPr="005865B6" w:rsidRDefault="003C3561" w:rsidP="003C3561">
      <w:pPr>
        <w:pStyle w:val="Standard"/>
        <w:jc w:val="both"/>
        <w:rPr>
          <w:rFonts w:cs="Arial"/>
          <w:bCs/>
        </w:rPr>
      </w:pPr>
      <w:r w:rsidRPr="005865B6">
        <w:rPr>
          <w:rFonts w:cs="Arial"/>
          <w:b/>
        </w:rPr>
        <w:t xml:space="preserve">AOP 097 </w:t>
      </w:r>
      <w:r w:rsidRPr="005865B6">
        <w:rPr>
          <w:rFonts w:cs="Arial"/>
          <w:bCs/>
        </w:rPr>
        <w:t>– Stanje nedospjelih obveza u iznosu od 3.272.557 kn odnosi se na:</w:t>
      </w:r>
    </w:p>
    <w:p w14:paraId="35A2A16B" w14:textId="77777777" w:rsidR="003C3561" w:rsidRPr="005865B6" w:rsidRDefault="003C3561" w:rsidP="003C3561">
      <w:pPr>
        <w:pStyle w:val="Standard"/>
        <w:jc w:val="both"/>
        <w:rPr>
          <w:rFonts w:cs="Arial"/>
          <w:bCs/>
        </w:rPr>
      </w:pPr>
      <w:r w:rsidRPr="005865B6">
        <w:rPr>
          <w:rFonts w:cs="Arial"/>
          <w:b/>
        </w:rPr>
        <w:t>23</w:t>
      </w:r>
      <w:r w:rsidRPr="005865B6">
        <w:rPr>
          <w:rFonts w:cs="Arial"/>
          <w:bCs/>
        </w:rPr>
        <w:t xml:space="preserve"> – obveze za rashode poslovanja 510.508 kn odnose se na : </w:t>
      </w:r>
    </w:p>
    <w:p w14:paraId="3B176482" w14:textId="77777777" w:rsidR="003C3561" w:rsidRPr="005865B6" w:rsidRDefault="003C3561" w:rsidP="003C3561">
      <w:pPr>
        <w:pStyle w:val="Standard"/>
        <w:jc w:val="both"/>
        <w:rPr>
          <w:rFonts w:cs="Arial"/>
        </w:rPr>
      </w:pPr>
      <w:r w:rsidRPr="005865B6">
        <w:rPr>
          <w:rFonts w:cs="Arial"/>
        </w:rPr>
        <w:t>231 - obveze za zaposlene 47.263 kn</w:t>
      </w:r>
    </w:p>
    <w:p w14:paraId="0B779284" w14:textId="77777777" w:rsidR="003C3561" w:rsidRPr="005865B6" w:rsidRDefault="003C3561" w:rsidP="003C3561">
      <w:pPr>
        <w:pStyle w:val="Standard"/>
        <w:jc w:val="both"/>
        <w:rPr>
          <w:rFonts w:cs="Arial"/>
        </w:rPr>
      </w:pPr>
      <w:r w:rsidRPr="005865B6">
        <w:rPr>
          <w:rFonts w:cs="Arial"/>
        </w:rPr>
        <w:t>232 -  obveze za materijalne rashode 52.396 kn</w:t>
      </w:r>
    </w:p>
    <w:p w14:paraId="053C89C7" w14:textId="77777777" w:rsidR="003C3561" w:rsidRPr="005865B6" w:rsidRDefault="003C3561" w:rsidP="003C3561">
      <w:pPr>
        <w:pStyle w:val="Standard"/>
        <w:jc w:val="both"/>
        <w:rPr>
          <w:rFonts w:cs="Arial"/>
        </w:rPr>
      </w:pPr>
      <w:r w:rsidRPr="005865B6">
        <w:rPr>
          <w:rFonts w:cs="Arial"/>
        </w:rPr>
        <w:t>234 - obveze za financijske rashode 1.086 kn</w:t>
      </w:r>
    </w:p>
    <w:p w14:paraId="7E7E5721" w14:textId="77777777" w:rsidR="003C3561" w:rsidRPr="005865B6" w:rsidRDefault="003C3561" w:rsidP="003C3561">
      <w:pPr>
        <w:pStyle w:val="Standard"/>
        <w:jc w:val="both"/>
        <w:rPr>
          <w:rFonts w:cs="Arial"/>
        </w:rPr>
      </w:pPr>
      <w:r w:rsidRPr="005865B6">
        <w:rPr>
          <w:rFonts w:cs="Arial"/>
        </w:rPr>
        <w:t>235 -  obveze za subvencije 7.929 kn</w:t>
      </w:r>
    </w:p>
    <w:p w14:paraId="4FE183E6" w14:textId="77777777" w:rsidR="003C3561" w:rsidRPr="005865B6" w:rsidRDefault="003C3561" w:rsidP="003C3561">
      <w:pPr>
        <w:pStyle w:val="Standard"/>
        <w:jc w:val="both"/>
        <w:rPr>
          <w:rFonts w:cs="Arial"/>
        </w:rPr>
      </w:pPr>
      <w:r w:rsidRPr="005865B6">
        <w:rPr>
          <w:rFonts w:cs="Arial"/>
        </w:rPr>
        <w:t>239 – ostale tekuće obveze 401.834 kn</w:t>
      </w:r>
    </w:p>
    <w:p w14:paraId="198DF296" w14:textId="77777777" w:rsidR="003C3561" w:rsidRPr="005865B6" w:rsidRDefault="003C3561" w:rsidP="003C3561">
      <w:pPr>
        <w:pStyle w:val="Standard"/>
        <w:jc w:val="both"/>
        <w:rPr>
          <w:rFonts w:cs="Arial"/>
        </w:rPr>
      </w:pPr>
    </w:p>
    <w:p w14:paraId="75A02AC6" w14:textId="77777777" w:rsidR="003C3561" w:rsidRPr="005865B6" w:rsidRDefault="003C3561" w:rsidP="003C3561">
      <w:pPr>
        <w:pStyle w:val="Standard"/>
        <w:jc w:val="both"/>
        <w:rPr>
          <w:rFonts w:cs="Arial"/>
        </w:rPr>
      </w:pPr>
      <w:r w:rsidRPr="005865B6">
        <w:rPr>
          <w:rFonts w:cs="Arial"/>
          <w:b/>
          <w:bCs/>
        </w:rPr>
        <w:t>24</w:t>
      </w:r>
      <w:r w:rsidRPr="005865B6">
        <w:rPr>
          <w:rFonts w:cs="Arial"/>
        </w:rPr>
        <w:t xml:space="preserve"> - Obveze za nabavu nefinancijske imovine 901.087 kn za izvođenje radova rekonstrukcije mosta preko rijeke Plitvice u </w:t>
      </w:r>
      <w:proofErr w:type="spellStart"/>
      <w:r w:rsidRPr="005865B6">
        <w:rPr>
          <w:rFonts w:cs="Arial"/>
        </w:rPr>
        <w:t>Dubovici</w:t>
      </w:r>
      <w:proofErr w:type="spellEnd"/>
      <w:r w:rsidRPr="005865B6">
        <w:rPr>
          <w:rFonts w:cs="Arial"/>
        </w:rPr>
        <w:t>.</w:t>
      </w:r>
    </w:p>
    <w:tbl>
      <w:tblPr>
        <w:tblpPr w:leftFromText="180" w:rightFromText="180" w:horzAnchor="margin" w:tblpY="480"/>
        <w:tblW w:w="8514" w:type="dxa"/>
        <w:tblLook w:val="04A0" w:firstRow="1" w:lastRow="0" w:firstColumn="1" w:lastColumn="0" w:noHBand="0" w:noVBand="1"/>
      </w:tblPr>
      <w:tblGrid>
        <w:gridCol w:w="2954"/>
        <w:gridCol w:w="1760"/>
        <w:gridCol w:w="1240"/>
        <w:gridCol w:w="1220"/>
        <w:gridCol w:w="1340"/>
      </w:tblGrid>
      <w:tr w:rsidR="003C3561" w:rsidRPr="005865B6" w14:paraId="03C01D9B" w14:textId="77777777" w:rsidTr="00F125E2">
        <w:trPr>
          <w:trHeight w:val="80"/>
        </w:trPr>
        <w:tc>
          <w:tcPr>
            <w:tcW w:w="2954" w:type="dxa"/>
            <w:noWrap/>
            <w:vAlign w:val="bottom"/>
          </w:tcPr>
          <w:p w14:paraId="1C95D64F" w14:textId="77777777" w:rsidR="003C3561" w:rsidRPr="005865B6"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B4B4939" w14:textId="77777777" w:rsidR="003C3561" w:rsidRPr="005865B6"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244F635" w14:textId="77777777" w:rsidR="003C3561" w:rsidRPr="005865B6"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3AA63BAD" w14:textId="77777777" w:rsidR="003C3561" w:rsidRPr="005865B6"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164C2F52" w14:textId="77777777" w:rsidR="003C3561" w:rsidRPr="005865B6" w:rsidRDefault="003C3561" w:rsidP="00F125E2">
            <w:pPr>
              <w:widowControl/>
              <w:suppressAutoHyphens w:val="0"/>
              <w:rPr>
                <w:rFonts w:ascii="Arial" w:eastAsia="Times New Roman" w:hAnsi="Arial" w:cs="Arial"/>
                <w:kern w:val="0"/>
                <w:sz w:val="20"/>
                <w:szCs w:val="20"/>
              </w:rPr>
            </w:pPr>
          </w:p>
        </w:tc>
      </w:tr>
      <w:tr w:rsidR="003C3561" w:rsidRPr="005865B6" w14:paraId="51D9CA95" w14:textId="77777777" w:rsidTr="00F125E2">
        <w:trPr>
          <w:trHeight w:val="80"/>
        </w:trPr>
        <w:tc>
          <w:tcPr>
            <w:tcW w:w="2954" w:type="dxa"/>
            <w:noWrap/>
            <w:vAlign w:val="bottom"/>
          </w:tcPr>
          <w:p w14:paraId="7C3C7B5A" w14:textId="77777777" w:rsidR="003C3561" w:rsidRPr="005865B6"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75526CE" w14:textId="77777777" w:rsidR="003C3561" w:rsidRPr="005865B6"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8BE7118" w14:textId="77777777" w:rsidR="003C3561" w:rsidRPr="005865B6"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1D0591C5" w14:textId="77777777" w:rsidR="003C3561" w:rsidRPr="005865B6"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79B5E331" w14:textId="77777777" w:rsidR="003C3561" w:rsidRPr="005865B6" w:rsidRDefault="003C3561" w:rsidP="00F125E2">
            <w:pPr>
              <w:widowControl/>
              <w:suppressAutoHyphens w:val="0"/>
              <w:rPr>
                <w:rFonts w:ascii="Arial" w:eastAsia="Times New Roman" w:hAnsi="Arial" w:cs="Arial"/>
                <w:kern w:val="0"/>
                <w:sz w:val="20"/>
                <w:szCs w:val="20"/>
              </w:rPr>
            </w:pPr>
          </w:p>
        </w:tc>
      </w:tr>
    </w:tbl>
    <w:p w14:paraId="2B3D92AB" w14:textId="77777777" w:rsidR="003C3561" w:rsidRPr="005865B6" w:rsidRDefault="003C3561" w:rsidP="003C3561">
      <w:pPr>
        <w:pStyle w:val="Standard"/>
        <w:jc w:val="both"/>
        <w:rPr>
          <w:rFonts w:cs="Arial"/>
        </w:rPr>
      </w:pPr>
    </w:p>
    <w:p w14:paraId="74306A1B" w14:textId="77777777" w:rsidR="003C3561" w:rsidRPr="005865B6" w:rsidRDefault="003C3561" w:rsidP="003C3561">
      <w:pPr>
        <w:pStyle w:val="Standard"/>
        <w:jc w:val="both"/>
        <w:rPr>
          <w:rFonts w:cs="Arial"/>
        </w:rPr>
      </w:pPr>
      <w:r w:rsidRPr="005865B6">
        <w:rPr>
          <w:rFonts w:cs="Arial"/>
          <w:b/>
          <w:bCs/>
        </w:rPr>
        <w:t>26</w:t>
      </w:r>
      <w:r w:rsidRPr="005865B6">
        <w:rPr>
          <w:rFonts w:cs="Arial"/>
        </w:rPr>
        <w:t xml:space="preserve"> - Obveze za financijsku imovinu 1.860.962 kn čine:</w:t>
      </w:r>
    </w:p>
    <w:p w14:paraId="006392A9" w14:textId="77777777" w:rsidR="003C3561" w:rsidRPr="005865B6" w:rsidRDefault="003C3561" w:rsidP="003C3561">
      <w:pPr>
        <w:jc w:val="both"/>
        <w:rPr>
          <w:rFonts w:cs="Times New Roman"/>
          <w:bCs/>
        </w:rPr>
      </w:pPr>
    </w:p>
    <w:p w14:paraId="06FE12D2" w14:textId="77777777" w:rsidR="003C3561" w:rsidRPr="005865B6" w:rsidRDefault="003C3561" w:rsidP="003C3561">
      <w:pPr>
        <w:jc w:val="both"/>
        <w:rPr>
          <w:rFonts w:cs="Times New Roman"/>
          <w:bCs/>
        </w:rPr>
      </w:pPr>
      <w:r w:rsidRPr="005865B6">
        <w:rPr>
          <w:rFonts w:cs="Times New Roman"/>
          <w:bCs/>
        </w:rPr>
        <w:t>Obveze za dugoročni kredit 1.500.000 kn.</w:t>
      </w:r>
    </w:p>
    <w:p w14:paraId="5C24C952" w14:textId="77777777" w:rsidR="003C3561" w:rsidRPr="005865B6" w:rsidRDefault="003C3561" w:rsidP="003C3561">
      <w:pPr>
        <w:jc w:val="both"/>
        <w:rPr>
          <w:rFonts w:cs="Times New Roman"/>
          <w:bCs/>
        </w:rPr>
      </w:pPr>
      <w:r w:rsidRPr="005865B6">
        <w:rPr>
          <w:rFonts w:cs="Times New Roman"/>
          <w:bCs/>
        </w:rPr>
        <w:t>Sredstva kredita otplaćivat će se u sukcesivno, u jednakim tromjesečnim anuitetima u iznosu od po HRK 77.988,13 počevši u 2022. godini.</w:t>
      </w:r>
    </w:p>
    <w:p w14:paraId="0A4C3E80" w14:textId="77777777" w:rsidR="003C3561" w:rsidRPr="005865B6" w:rsidRDefault="003C3561" w:rsidP="003C3561">
      <w:pPr>
        <w:jc w:val="both"/>
        <w:rPr>
          <w:rFonts w:eastAsia="Times New Roman" w:cs="Times New Roman"/>
          <w:b/>
          <w:bCs/>
          <w:kern w:val="0"/>
          <w:lang w:eastAsia="ar-SA"/>
        </w:rPr>
      </w:pPr>
      <w:r w:rsidRPr="005865B6">
        <w:rPr>
          <w:rFonts w:cs="Times New Roman"/>
          <w:bCs/>
        </w:rPr>
        <w:t xml:space="preserve">Obveze za beskamatni zajam zbog nedostajućih sredstava za povrat poreza na dohodak i prireza na dohodak po godišnjoj prijavi u iznosu 360.962 kn. </w:t>
      </w:r>
    </w:p>
    <w:p w14:paraId="2A067863" w14:textId="77777777" w:rsidR="003C3561" w:rsidRPr="005865B6" w:rsidRDefault="003C3561" w:rsidP="003C3561">
      <w:pPr>
        <w:jc w:val="both"/>
        <w:rPr>
          <w:rFonts w:eastAsia="Times New Roman" w:cs="Times New Roman"/>
          <w:b/>
          <w:bCs/>
          <w:kern w:val="0"/>
          <w:lang w:eastAsia="ar-SA"/>
        </w:rPr>
      </w:pPr>
      <w:r w:rsidRPr="005865B6">
        <w:t>Navedeni iznos je u izvještajnom razdoblju prikazan kao obveza za zajmove iz državnog proračuna i kao primitak od kratkoročnog zajma iz državnog proračuna.</w:t>
      </w:r>
    </w:p>
    <w:p w14:paraId="5545372B" w14:textId="77777777" w:rsidR="003C3561" w:rsidRPr="005865B6" w:rsidRDefault="003C3561" w:rsidP="003C3561">
      <w:pPr>
        <w:widowControl/>
        <w:jc w:val="center"/>
        <w:rPr>
          <w:rFonts w:eastAsia="Times New Roman" w:cs="Times New Roman"/>
          <w:b/>
          <w:bCs/>
          <w:kern w:val="0"/>
          <w:lang w:eastAsia="ar-SA"/>
        </w:rPr>
      </w:pPr>
    </w:p>
    <w:p w14:paraId="19D50FC2" w14:textId="77777777" w:rsidR="003E3232" w:rsidRPr="005865B6" w:rsidRDefault="003E3232" w:rsidP="00B64D7A">
      <w:pPr>
        <w:pStyle w:val="Standard"/>
        <w:jc w:val="center"/>
        <w:rPr>
          <w:rFonts w:cs="Arial"/>
          <w:b/>
          <w:bCs/>
          <w:sz w:val="26"/>
          <w:szCs w:val="26"/>
        </w:rPr>
      </w:pPr>
    </w:p>
    <w:p w14:paraId="7392C7D1" w14:textId="5DBD6069" w:rsidR="003E3232" w:rsidRPr="005865B6" w:rsidRDefault="00434525" w:rsidP="00B64D7A">
      <w:pPr>
        <w:pStyle w:val="Standard"/>
        <w:jc w:val="center"/>
        <w:rPr>
          <w:rFonts w:cs="Arial"/>
          <w:b/>
          <w:bCs/>
          <w:sz w:val="26"/>
          <w:szCs w:val="26"/>
        </w:rPr>
      </w:pPr>
      <w:r w:rsidRPr="005865B6">
        <w:rPr>
          <w:rFonts w:cs="Arial"/>
          <w:b/>
          <w:bCs/>
          <w:sz w:val="26"/>
          <w:szCs w:val="26"/>
        </w:rPr>
        <w:t>BILJEŠKE UZ OBRAZAC RAS-funkcijski</w:t>
      </w:r>
    </w:p>
    <w:p w14:paraId="452888DE" w14:textId="3F1775A1" w:rsidR="003D6992" w:rsidRPr="005865B6" w:rsidRDefault="003D6992" w:rsidP="00B64D7A">
      <w:pPr>
        <w:pStyle w:val="Standard"/>
        <w:jc w:val="center"/>
        <w:rPr>
          <w:rFonts w:cs="Arial"/>
          <w:b/>
          <w:bCs/>
          <w:sz w:val="26"/>
          <w:szCs w:val="26"/>
        </w:rPr>
      </w:pPr>
    </w:p>
    <w:p w14:paraId="4265D7D8" w14:textId="767FD375" w:rsidR="003D6992" w:rsidRPr="005865B6" w:rsidRDefault="003D6992" w:rsidP="003D6992">
      <w:pPr>
        <w:jc w:val="both"/>
      </w:pPr>
      <w:r w:rsidRPr="005865B6">
        <w:t xml:space="preserve">AOP 001 Opće javne usluge ostvarene su </w:t>
      </w:r>
      <w:r w:rsidR="00D156BD" w:rsidRPr="005865B6">
        <w:t>u iznosu</w:t>
      </w:r>
      <w:r w:rsidRPr="005865B6">
        <w:t xml:space="preserve"> 1.</w:t>
      </w:r>
      <w:r w:rsidR="00D156BD" w:rsidRPr="005865B6">
        <w:t>471</w:t>
      </w:r>
      <w:r w:rsidRPr="005865B6">
        <w:t>.</w:t>
      </w:r>
      <w:r w:rsidR="00D156BD" w:rsidRPr="005865B6">
        <w:t>139</w:t>
      </w:r>
      <w:r w:rsidRPr="005865B6">
        <w:t xml:space="preserve"> k</w:t>
      </w:r>
      <w:r w:rsidR="00D156BD" w:rsidRPr="005865B6">
        <w:t>n</w:t>
      </w:r>
    </w:p>
    <w:p w14:paraId="58165076" w14:textId="38450AE6" w:rsidR="003D6992" w:rsidRPr="005865B6" w:rsidRDefault="003D6992" w:rsidP="003D6992">
      <w:pPr>
        <w:jc w:val="both"/>
      </w:pPr>
      <w:r w:rsidRPr="005865B6">
        <w:t>AOP 024 Javni red i sigurnost ostvareni su</w:t>
      </w:r>
      <w:r w:rsidR="00D156BD" w:rsidRPr="005865B6">
        <w:t xml:space="preserve"> u iznosu  61.874</w:t>
      </w:r>
      <w:r w:rsidRPr="005865B6">
        <w:t xml:space="preserve"> k</w:t>
      </w:r>
      <w:r w:rsidR="00D156BD" w:rsidRPr="005865B6">
        <w:t>n</w:t>
      </w:r>
    </w:p>
    <w:p w14:paraId="6B199448" w14:textId="2F634551" w:rsidR="003D6992" w:rsidRPr="005865B6" w:rsidRDefault="003D6992" w:rsidP="003D6992">
      <w:pPr>
        <w:jc w:val="both"/>
      </w:pPr>
      <w:r w:rsidRPr="005865B6">
        <w:t xml:space="preserve">AOP 031 Ekonomski poslovi ostvareni su </w:t>
      </w:r>
      <w:r w:rsidR="00D156BD" w:rsidRPr="005865B6">
        <w:t>u iznosu 2.510.595</w:t>
      </w:r>
      <w:r w:rsidRPr="005865B6">
        <w:t xml:space="preserve"> k</w:t>
      </w:r>
      <w:r w:rsidR="00D156BD" w:rsidRPr="005865B6">
        <w:t>n</w:t>
      </w:r>
    </w:p>
    <w:p w14:paraId="2E01038F" w14:textId="0CAD5C5C" w:rsidR="00D156BD" w:rsidRPr="005865B6" w:rsidRDefault="00D156BD" w:rsidP="003D6992">
      <w:pPr>
        <w:jc w:val="both"/>
      </w:pPr>
      <w:r w:rsidRPr="005865B6">
        <w:t>AOP 071 Zaštita okoliša ostvarena je u iznosu 182.510 kn</w:t>
      </w:r>
    </w:p>
    <w:p w14:paraId="4F5A910E" w14:textId="70335925" w:rsidR="003D6992" w:rsidRPr="005865B6" w:rsidRDefault="003D6992" w:rsidP="003D6992">
      <w:pPr>
        <w:jc w:val="both"/>
      </w:pPr>
      <w:r w:rsidRPr="005865B6">
        <w:t>AOP 078 Usluge unapređenja stanovanja i zajednice ostvarene su</w:t>
      </w:r>
      <w:r w:rsidR="00D156BD" w:rsidRPr="005865B6">
        <w:t xml:space="preserve"> u iznosu</w:t>
      </w:r>
      <w:r w:rsidRPr="005865B6">
        <w:t xml:space="preserve">  </w:t>
      </w:r>
      <w:r w:rsidR="00D156BD" w:rsidRPr="005865B6">
        <w:t>1.628.567</w:t>
      </w:r>
      <w:r w:rsidRPr="005865B6">
        <w:t xml:space="preserve"> k</w:t>
      </w:r>
      <w:r w:rsidR="00D156BD" w:rsidRPr="005865B6">
        <w:t>n</w:t>
      </w:r>
    </w:p>
    <w:p w14:paraId="0396030C" w14:textId="3E02FC18" w:rsidR="003D6992" w:rsidRPr="005865B6" w:rsidRDefault="003D6992" w:rsidP="003D6992">
      <w:pPr>
        <w:jc w:val="both"/>
      </w:pPr>
      <w:r w:rsidRPr="005865B6">
        <w:t xml:space="preserve">AOP 103 Rekreacija, kultura i religija ostvarena je </w:t>
      </w:r>
      <w:r w:rsidR="00D156BD" w:rsidRPr="005865B6">
        <w:t>225.797</w:t>
      </w:r>
      <w:r w:rsidRPr="005865B6">
        <w:t xml:space="preserve"> k</w:t>
      </w:r>
      <w:r w:rsidR="00D156BD" w:rsidRPr="005865B6">
        <w:t>n</w:t>
      </w:r>
    </w:p>
    <w:p w14:paraId="2CFF9497" w14:textId="2F75D5BA" w:rsidR="003D6992" w:rsidRPr="005865B6" w:rsidRDefault="003D6992" w:rsidP="003D6992">
      <w:pPr>
        <w:jc w:val="both"/>
      </w:pPr>
      <w:r w:rsidRPr="005865B6">
        <w:t>AOP 110 Obrazovanje</w:t>
      </w:r>
      <w:r w:rsidR="00D156BD" w:rsidRPr="005865B6">
        <w:t xml:space="preserve"> je</w:t>
      </w:r>
      <w:r w:rsidRPr="005865B6">
        <w:t xml:space="preserve"> ostvareno </w:t>
      </w:r>
      <w:r w:rsidR="00D156BD" w:rsidRPr="005865B6">
        <w:t>u iznosu 557.354</w:t>
      </w:r>
      <w:r w:rsidRPr="005865B6">
        <w:t xml:space="preserve"> </w:t>
      </w:r>
      <w:r w:rsidR="00D156BD" w:rsidRPr="005865B6">
        <w:t>kn</w:t>
      </w:r>
    </w:p>
    <w:p w14:paraId="2847902E" w14:textId="64011677" w:rsidR="003D6992" w:rsidRPr="005865B6" w:rsidRDefault="003D6992" w:rsidP="003D6992">
      <w:pPr>
        <w:jc w:val="both"/>
      </w:pPr>
      <w:r w:rsidRPr="005865B6">
        <w:t>AOP 125 Socijalna zaštita</w:t>
      </w:r>
      <w:r w:rsidR="00D156BD" w:rsidRPr="005865B6">
        <w:t xml:space="preserve"> </w:t>
      </w:r>
      <w:r w:rsidRPr="005865B6">
        <w:t>ostvarena</w:t>
      </w:r>
      <w:r w:rsidR="00D156BD" w:rsidRPr="005865B6">
        <w:t xml:space="preserve"> je u iznosu</w:t>
      </w:r>
      <w:r w:rsidRPr="005865B6">
        <w:t xml:space="preserve"> </w:t>
      </w:r>
      <w:r w:rsidR="00D156BD" w:rsidRPr="005865B6">
        <w:t>198.967</w:t>
      </w:r>
      <w:r w:rsidRPr="005865B6">
        <w:t xml:space="preserve"> k</w:t>
      </w:r>
      <w:r w:rsidR="00D156BD" w:rsidRPr="005865B6">
        <w:t>n</w:t>
      </w:r>
    </w:p>
    <w:p w14:paraId="41A9066C" w14:textId="0C6832BB" w:rsidR="003D6992" w:rsidRPr="005865B6" w:rsidRDefault="003D6992" w:rsidP="00B64D7A">
      <w:pPr>
        <w:pStyle w:val="Standard"/>
        <w:jc w:val="center"/>
        <w:rPr>
          <w:rFonts w:cs="Arial"/>
          <w:b/>
          <w:bCs/>
          <w:sz w:val="26"/>
          <w:szCs w:val="26"/>
        </w:rPr>
      </w:pPr>
    </w:p>
    <w:p w14:paraId="0E5D3E85" w14:textId="77777777" w:rsidR="003E3232" w:rsidRPr="005865B6" w:rsidRDefault="003E3232" w:rsidP="00B64D7A">
      <w:pPr>
        <w:pStyle w:val="Standard"/>
        <w:jc w:val="center"/>
        <w:rPr>
          <w:rFonts w:cs="Arial"/>
          <w:b/>
          <w:bCs/>
          <w:sz w:val="26"/>
          <w:szCs w:val="26"/>
        </w:rPr>
      </w:pPr>
    </w:p>
    <w:p w14:paraId="70EDC27B" w14:textId="7BAF47AA" w:rsidR="00B64D7A" w:rsidRPr="005865B6" w:rsidRDefault="00B64D7A" w:rsidP="00B64D7A">
      <w:pPr>
        <w:pStyle w:val="Standard"/>
        <w:jc w:val="center"/>
        <w:rPr>
          <w:rFonts w:cs="Arial"/>
          <w:b/>
          <w:bCs/>
          <w:sz w:val="26"/>
          <w:szCs w:val="26"/>
        </w:rPr>
      </w:pPr>
      <w:r w:rsidRPr="005865B6">
        <w:rPr>
          <w:rFonts w:cs="Arial"/>
          <w:b/>
          <w:bCs/>
          <w:sz w:val="26"/>
          <w:szCs w:val="26"/>
        </w:rPr>
        <w:t>BILJEŠKE UZ OBRAZAC P-VRIO</w:t>
      </w:r>
    </w:p>
    <w:p w14:paraId="2F85EA63" w14:textId="0EC33FDB" w:rsidR="00B64D7A" w:rsidRDefault="00B64D7A" w:rsidP="00B61961">
      <w:pPr>
        <w:pStyle w:val="Standard"/>
        <w:jc w:val="center"/>
        <w:rPr>
          <w:sz w:val="26"/>
          <w:szCs w:val="26"/>
        </w:rPr>
      </w:pPr>
      <w:r w:rsidRPr="005865B6">
        <w:rPr>
          <w:sz w:val="26"/>
          <w:szCs w:val="26"/>
        </w:rPr>
        <w:t>za razdoblje 01.01.2021. do 31.12. 2021. godine</w:t>
      </w:r>
    </w:p>
    <w:p w14:paraId="73757179" w14:textId="77777777" w:rsidR="00B61961" w:rsidRPr="00B61961" w:rsidRDefault="00B61961" w:rsidP="00B61961">
      <w:pPr>
        <w:pStyle w:val="Standard"/>
        <w:jc w:val="center"/>
        <w:rPr>
          <w:sz w:val="26"/>
          <w:szCs w:val="26"/>
        </w:rPr>
      </w:pPr>
    </w:p>
    <w:p w14:paraId="3F7D9AA7" w14:textId="71F0ADBA" w:rsidR="00B64D7A" w:rsidRPr="005865B6" w:rsidRDefault="00B64D7A" w:rsidP="00B64D7A">
      <w:pPr>
        <w:pStyle w:val="Standard"/>
        <w:jc w:val="both"/>
        <w:rPr>
          <w:rFonts w:cs="Arial"/>
          <w:sz w:val="26"/>
          <w:szCs w:val="26"/>
        </w:rPr>
      </w:pPr>
      <w:r w:rsidRPr="005865B6">
        <w:rPr>
          <w:rFonts w:cs="Arial"/>
          <w:sz w:val="26"/>
          <w:szCs w:val="26"/>
        </w:rPr>
        <w:t>Izvještaj Promjene u vrijednosti imovine i obveza – P-VRIO za razdoblje od 01.01.2021. godine do 31.12.2021. godine obuhvaća promjene u vrijednosti i obujmu imovine.</w:t>
      </w:r>
    </w:p>
    <w:p w14:paraId="50A2C578" w14:textId="4BED0A3D" w:rsidR="00B64D7A" w:rsidRPr="005865B6" w:rsidRDefault="00B64D7A" w:rsidP="00B64D7A">
      <w:pPr>
        <w:pStyle w:val="Standard"/>
        <w:jc w:val="both"/>
        <w:rPr>
          <w:rFonts w:cs="Arial"/>
          <w:sz w:val="26"/>
          <w:szCs w:val="26"/>
        </w:rPr>
      </w:pPr>
    </w:p>
    <w:p w14:paraId="5FAE9A27" w14:textId="059E82DD" w:rsidR="00DF0BA2" w:rsidRPr="005865B6" w:rsidRDefault="00DF0BA2" w:rsidP="00B64D7A">
      <w:pPr>
        <w:pStyle w:val="Standard"/>
        <w:jc w:val="both"/>
        <w:rPr>
          <w:rFonts w:cs="Arial"/>
          <w:sz w:val="26"/>
          <w:szCs w:val="26"/>
        </w:rPr>
      </w:pPr>
      <w:r w:rsidRPr="005865B6">
        <w:rPr>
          <w:rFonts w:cs="Arial"/>
          <w:sz w:val="26"/>
          <w:szCs w:val="26"/>
        </w:rPr>
        <w:lastRenderedPageBreak/>
        <w:t>U koloni povećanja na AOP 0</w:t>
      </w:r>
      <w:r w:rsidR="005C4C90" w:rsidRPr="005865B6">
        <w:rPr>
          <w:rFonts w:cs="Arial"/>
          <w:sz w:val="26"/>
          <w:szCs w:val="26"/>
        </w:rPr>
        <w:t>21</w:t>
      </w:r>
      <w:r w:rsidRPr="005865B6">
        <w:rPr>
          <w:rFonts w:cs="Arial"/>
          <w:sz w:val="26"/>
          <w:szCs w:val="26"/>
        </w:rPr>
        <w:t xml:space="preserve"> iskazana je vrijednost 98.879 kn  a odnosi se na prijenos vlasništva za spremnike za odvojeno prikupljeno otpada od Fonda za zaštitu okoliša i energetsku učinkovitost.</w:t>
      </w:r>
    </w:p>
    <w:p w14:paraId="2C295475" w14:textId="49099DD2" w:rsidR="00B64D7A" w:rsidRPr="005865B6" w:rsidRDefault="00DF0BA2" w:rsidP="00B64D7A">
      <w:pPr>
        <w:pStyle w:val="Standard"/>
        <w:jc w:val="both"/>
        <w:rPr>
          <w:rFonts w:cs="Arial"/>
          <w:sz w:val="26"/>
          <w:szCs w:val="26"/>
        </w:rPr>
      </w:pPr>
      <w:r w:rsidRPr="005865B6">
        <w:rPr>
          <w:rFonts w:cs="Arial"/>
          <w:sz w:val="26"/>
          <w:szCs w:val="26"/>
        </w:rPr>
        <w:t xml:space="preserve"> U koloni smanjenja AOP 0</w:t>
      </w:r>
      <w:r w:rsidR="005C4C90" w:rsidRPr="005865B6">
        <w:rPr>
          <w:rFonts w:cs="Arial"/>
          <w:sz w:val="26"/>
          <w:szCs w:val="26"/>
        </w:rPr>
        <w:t>21</w:t>
      </w:r>
      <w:r w:rsidRPr="005865B6">
        <w:rPr>
          <w:rFonts w:cs="Arial"/>
          <w:sz w:val="26"/>
          <w:szCs w:val="26"/>
        </w:rPr>
        <w:t xml:space="preserve"> iskazana je vrijednost </w:t>
      </w:r>
      <w:r w:rsidR="00B64D7A" w:rsidRPr="005865B6">
        <w:rPr>
          <w:rFonts w:cs="Arial"/>
          <w:sz w:val="26"/>
          <w:szCs w:val="26"/>
        </w:rPr>
        <w:t xml:space="preserve"> 2.228 kn a  odnosi se </w:t>
      </w:r>
      <w:r w:rsidRPr="005865B6">
        <w:rPr>
          <w:rFonts w:cs="Arial"/>
          <w:sz w:val="26"/>
          <w:szCs w:val="26"/>
        </w:rPr>
        <w:t>nefinancijsku imovinu isknjiženu iz poslovnih knjiga.</w:t>
      </w:r>
    </w:p>
    <w:p w14:paraId="791864DB" w14:textId="5932EAEF" w:rsidR="00B64D7A" w:rsidRPr="005865B6" w:rsidRDefault="00B64D7A" w:rsidP="00B64D7A">
      <w:pPr>
        <w:pStyle w:val="Standard"/>
        <w:jc w:val="both"/>
        <w:rPr>
          <w:rFonts w:cs="Arial"/>
          <w:sz w:val="26"/>
          <w:szCs w:val="26"/>
        </w:rPr>
      </w:pPr>
    </w:p>
    <w:p w14:paraId="116BBFFF" w14:textId="15F4A790" w:rsidR="00DF0BA2" w:rsidRPr="005865B6" w:rsidRDefault="00DF0BA2" w:rsidP="00B64D7A">
      <w:pPr>
        <w:pStyle w:val="Standard"/>
        <w:jc w:val="both"/>
        <w:rPr>
          <w:rFonts w:cs="Arial"/>
          <w:sz w:val="26"/>
          <w:szCs w:val="26"/>
        </w:rPr>
      </w:pPr>
      <w:r w:rsidRPr="005865B6">
        <w:rPr>
          <w:rFonts w:cs="Arial"/>
          <w:sz w:val="26"/>
          <w:szCs w:val="26"/>
        </w:rPr>
        <w:t>U koloni smanjenja AOP 0</w:t>
      </w:r>
      <w:r w:rsidR="005C4C90" w:rsidRPr="005865B6">
        <w:rPr>
          <w:rFonts w:cs="Arial"/>
          <w:sz w:val="26"/>
          <w:szCs w:val="26"/>
        </w:rPr>
        <w:t>32</w:t>
      </w:r>
      <w:r w:rsidRPr="005865B6">
        <w:rPr>
          <w:rFonts w:cs="Arial"/>
          <w:sz w:val="26"/>
          <w:szCs w:val="26"/>
        </w:rPr>
        <w:t xml:space="preserve"> iskazana je vrijednost 17.957 kn a odnosi se na otpis potraživanja s osnove komunalne naknade 9.85</w:t>
      </w:r>
      <w:r w:rsidR="00B8420D" w:rsidRPr="005865B6">
        <w:rPr>
          <w:rFonts w:cs="Arial"/>
          <w:sz w:val="26"/>
          <w:szCs w:val="26"/>
        </w:rPr>
        <w:t>5</w:t>
      </w:r>
      <w:r w:rsidRPr="005865B6">
        <w:rPr>
          <w:rFonts w:cs="Arial"/>
          <w:sz w:val="26"/>
          <w:szCs w:val="26"/>
        </w:rPr>
        <w:t xml:space="preserve"> kn i otpis potraživanja s osnove </w:t>
      </w:r>
      <w:r w:rsidR="006157A9" w:rsidRPr="005865B6">
        <w:rPr>
          <w:rFonts w:cs="Arial"/>
          <w:sz w:val="26"/>
          <w:szCs w:val="26"/>
        </w:rPr>
        <w:t>koncesijskih naknada (dimnjačarski poslovi) 8.102 kn.</w:t>
      </w:r>
    </w:p>
    <w:p w14:paraId="3D96606F" w14:textId="77777777" w:rsidR="00524AB8" w:rsidRPr="005865B6" w:rsidRDefault="00524AB8" w:rsidP="00524AB8">
      <w:pPr>
        <w:widowControl/>
        <w:tabs>
          <w:tab w:val="left" w:pos="720"/>
        </w:tabs>
        <w:ind w:left="644"/>
        <w:jc w:val="both"/>
        <w:rPr>
          <w:rFonts w:eastAsia="Times New Roman" w:cs="Times New Roman"/>
          <w:b/>
          <w:kern w:val="0"/>
          <w:lang w:eastAsia="ar-SA"/>
        </w:rPr>
      </w:pPr>
    </w:p>
    <w:p w14:paraId="4CFE648E" w14:textId="77777777" w:rsidR="00524AB8" w:rsidRPr="005865B6" w:rsidRDefault="00524AB8" w:rsidP="00524AB8">
      <w:pPr>
        <w:widowControl/>
        <w:tabs>
          <w:tab w:val="left" w:pos="720"/>
        </w:tabs>
        <w:ind w:left="644"/>
        <w:jc w:val="both"/>
        <w:rPr>
          <w:rFonts w:eastAsia="Times New Roman" w:cs="Times New Roman"/>
          <w:b/>
          <w:kern w:val="0"/>
          <w:lang w:eastAsia="ar-SA"/>
        </w:rPr>
      </w:pPr>
    </w:p>
    <w:p w14:paraId="56647A72" w14:textId="77777777" w:rsidR="00524AB8" w:rsidRPr="005865B6" w:rsidRDefault="00524AB8" w:rsidP="00524AB8">
      <w:pPr>
        <w:widowControl/>
        <w:tabs>
          <w:tab w:val="left" w:pos="720"/>
        </w:tabs>
        <w:ind w:left="644"/>
        <w:jc w:val="both"/>
        <w:rPr>
          <w:rFonts w:eastAsia="Times New Roman" w:cs="Times New Roman"/>
          <w:b/>
          <w:kern w:val="0"/>
          <w:lang w:eastAsia="ar-SA"/>
        </w:rPr>
      </w:pPr>
    </w:p>
    <w:p w14:paraId="3779EAE5" w14:textId="4EAB4C04" w:rsidR="00BE63EF" w:rsidRPr="005865B6" w:rsidRDefault="002B1F28">
      <w:pPr>
        <w:pStyle w:val="Standard"/>
        <w:jc w:val="both"/>
        <w:rPr>
          <w:rFonts w:cs="Arial"/>
          <w:color w:val="000000" w:themeColor="text1"/>
        </w:rPr>
      </w:pPr>
      <w:r w:rsidRPr="005865B6">
        <w:rPr>
          <w:rFonts w:cs="Arial"/>
          <w:color w:val="000000" w:themeColor="text1"/>
        </w:rPr>
        <w:t xml:space="preserve">U Velikom Bukovcu </w:t>
      </w:r>
      <w:r w:rsidR="00F76CF2" w:rsidRPr="005865B6">
        <w:rPr>
          <w:rFonts w:cs="Arial"/>
          <w:color w:val="000000" w:themeColor="text1"/>
        </w:rPr>
        <w:t>21.02.2022.</w:t>
      </w:r>
    </w:p>
    <w:p w14:paraId="5B3533D9" w14:textId="41870195" w:rsidR="002B1F28" w:rsidRPr="005865B6" w:rsidRDefault="002B1F28">
      <w:pPr>
        <w:pStyle w:val="Standard"/>
        <w:jc w:val="both"/>
        <w:rPr>
          <w:rFonts w:cs="Arial"/>
          <w:color w:val="000000" w:themeColor="text1"/>
        </w:rPr>
      </w:pPr>
    </w:p>
    <w:p w14:paraId="7354990D" w14:textId="0F808575" w:rsidR="003418E8" w:rsidRPr="005865B6" w:rsidRDefault="003418E8">
      <w:pPr>
        <w:pStyle w:val="Standard"/>
        <w:jc w:val="both"/>
        <w:rPr>
          <w:rFonts w:cs="Arial"/>
          <w:color w:val="000000" w:themeColor="text1"/>
        </w:rPr>
      </w:pPr>
    </w:p>
    <w:p w14:paraId="26B0027A" w14:textId="6D066AD3" w:rsidR="00914EA1" w:rsidRDefault="00914EA1" w:rsidP="003418E8">
      <w:pPr>
        <w:pStyle w:val="Standard"/>
        <w:jc w:val="both"/>
        <w:rPr>
          <w:rFonts w:cs="Arial"/>
          <w:color w:val="000000" w:themeColor="text1"/>
        </w:rPr>
      </w:pPr>
      <w:r>
        <w:rPr>
          <w:rFonts w:cs="Arial"/>
          <w:color w:val="000000" w:themeColor="text1"/>
        </w:rPr>
        <w:t>Kontakt osoba:</w:t>
      </w:r>
      <w:r w:rsidR="005B29D3">
        <w:rPr>
          <w:rFonts w:cs="Arial"/>
          <w:color w:val="000000" w:themeColor="text1"/>
        </w:rPr>
        <w:tab/>
      </w:r>
      <w:r w:rsidR="005B29D3">
        <w:rPr>
          <w:rFonts w:cs="Arial"/>
          <w:color w:val="000000" w:themeColor="text1"/>
        </w:rPr>
        <w:tab/>
      </w:r>
      <w:r w:rsidR="005B29D3">
        <w:rPr>
          <w:rFonts w:cs="Arial"/>
          <w:color w:val="000000" w:themeColor="text1"/>
        </w:rPr>
        <w:tab/>
      </w:r>
      <w:r w:rsidR="005B29D3">
        <w:rPr>
          <w:rFonts w:cs="Arial"/>
          <w:color w:val="000000" w:themeColor="text1"/>
        </w:rPr>
        <w:tab/>
      </w:r>
      <w:r w:rsidR="005B29D3">
        <w:rPr>
          <w:rFonts w:cs="Arial"/>
          <w:color w:val="000000" w:themeColor="text1"/>
        </w:rPr>
        <w:tab/>
      </w:r>
      <w:r w:rsidR="005B29D3">
        <w:rPr>
          <w:rFonts w:cs="Arial"/>
          <w:color w:val="000000" w:themeColor="text1"/>
        </w:rPr>
        <w:tab/>
        <w:t>Načelnik Općine Veliki Bukovec</w:t>
      </w:r>
    </w:p>
    <w:p w14:paraId="071AF2FF" w14:textId="093DBC00" w:rsidR="003418E8" w:rsidRDefault="00914EA1" w:rsidP="003418E8">
      <w:pPr>
        <w:pStyle w:val="Standard"/>
        <w:jc w:val="both"/>
        <w:rPr>
          <w:rFonts w:cs="Arial"/>
          <w:color w:val="000000" w:themeColor="text1"/>
        </w:rPr>
      </w:pPr>
      <w:r>
        <w:rPr>
          <w:rFonts w:cs="Arial"/>
          <w:color w:val="000000" w:themeColor="text1"/>
        </w:rPr>
        <w:t xml:space="preserve">Nevenka </w:t>
      </w:r>
      <w:proofErr w:type="spellStart"/>
      <w:r>
        <w:rPr>
          <w:rFonts w:cs="Arial"/>
          <w:color w:val="000000" w:themeColor="text1"/>
        </w:rPr>
        <w:t>Martinkovi</w:t>
      </w:r>
      <w:r w:rsidR="005B29D3">
        <w:rPr>
          <w:rFonts w:cs="Arial"/>
          <w:color w:val="000000" w:themeColor="text1"/>
        </w:rPr>
        <w:t>ć</w:t>
      </w:r>
      <w:proofErr w:type="spellEnd"/>
      <w:r w:rsidR="005B29D3">
        <w:rPr>
          <w:rFonts w:cs="Arial"/>
          <w:color w:val="000000" w:themeColor="text1"/>
        </w:rPr>
        <w:t xml:space="preserve"> </w:t>
      </w:r>
      <w:r w:rsidR="005B29D3">
        <w:rPr>
          <w:rFonts w:cs="Arial"/>
          <w:color w:val="000000" w:themeColor="text1"/>
        </w:rPr>
        <w:tab/>
      </w:r>
      <w:r w:rsidR="005B29D3">
        <w:rPr>
          <w:rFonts w:cs="Arial"/>
          <w:color w:val="000000" w:themeColor="text1"/>
        </w:rPr>
        <w:tab/>
      </w:r>
      <w:r w:rsidR="005B29D3">
        <w:rPr>
          <w:rFonts w:cs="Arial"/>
          <w:color w:val="000000" w:themeColor="text1"/>
        </w:rPr>
        <w:tab/>
      </w:r>
      <w:r w:rsidR="005B29D3">
        <w:rPr>
          <w:rFonts w:cs="Arial"/>
          <w:color w:val="000000" w:themeColor="text1"/>
        </w:rPr>
        <w:tab/>
      </w:r>
      <w:r w:rsidR="005B29D3">
        <w:rPr>
          <w:rFonts w:cs="Arial"/>
          <w:color w:val="000000" w:themeColor="text1"/>
        </w:rPr>
        <w:tab/>
        <w:t>Franjo Vrbanić</w:t>
      </w:r>
    </w:p>
    <w:p w14:paraId="2FE8DB4F" w14:textId="2062070C" w:rsidR="003418E8" w:rsidRDefault="003418E8" w:rsidP="003418E8">
      <w:pPr>
        <w:pStyle w:val="Standard"/>
        <w:jc w:val="both"/>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sidR="00CF4EB5">
        <w:rPr>
          <w:rFonts w:cs="Arial"/>
          <w:color w:val="000000" w:themeColor="text1"/>
        </w:rPr>
        <w:tab/>
      </w:r>
    </w:p>
    <w:sectPr w:rsidR="003418E8" w:rsidSect="00FB77A9">
      <w:footerReference w:type="default" r:id="rId9"/>
      <w:pgSz w:w="11905" w:h="16837"/>
      <w:pgMar w:top="426" w:right="1417" w:bottom="284" w:left="1417"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9ED3" w14:textId="77777777" w:rsidR="00837D21" w:rsidRDefault="00837D21">
      <w:r>
        <w:separator/>
      </w:r>
    </w:p>
  </w:endnote>
  <w:endnote w:type="continuationSeparator" w:id="0">
    <w:p w14:paraId="1F3EBAED" w14:textId="77777777" w:rsidR="00837D21" w:rsidRDefault="008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93030"/>
      <w:docPartObj>
        <w:docPartGallery w:val="Page Numbers (Bottom of Page)"/>
        <w:docPartUnique/>
      </w:docPartObj>
    </w:sdtPr>
    <w:sdtEndPr/>
    <w:sdtContent>
      <w:p w14:paraId="08E4BE96" w14:textId="77777777" w:rsidR="00FC2F22" w:rsidRDefault="00FC2F22">
        <w:pPr>
          <w:pStyle w:val="Podnoje"/>
        </w:pPr>
        <w:r>
          <w:fldChar w:fldCharType="begin"/>
        </w:r>
        <w:r>
          <w:instrText>PAGE   \* MERGEFORMAT</w:instrText>
        </w:r>
        <w:r>
          <w:fldChar w:fldCharType="separate"/>
        </w:r>
        <w:r>
          <w:t>2</w:t>
        </w:r>
        <w:r>
          <w:fldChar w:fldCharType="end"/>
        </w:r>
      </w:p>
    </w:sdtContent>
  </w:sdt>
  <w:p w14:paraId="4A7029ED" w14:textId="77777777" w:rsidR="00FC2F22" w:rsidRDefault="00FC2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B063" w14:textId="77777777" w:rsidR="00837D21" w:rsidRDefault="00837D21">
      <w:r>
        <w:rPr>
          <w:color w:val="000000"/>
        </w:rPr>
        <w:separator/>
      </w:r>
    </w:p>
  </w:footnote>
  <w:footnote w:type="continuationSeparator" w:id="0">
    <w:p w14:paraId="094A8F72" w14:textId="77777777" w:rsidR="00837D21" w:rsidRDefault="0083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D47273"/>
    <w:multiLevelType w:val="multilevel"/>
    <w:tmpl w:val="12CCA3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B21"/>
    <w:multiLevelType w:val="hybridMultilevel"/>
    <w:tmpl w:val="538A51CA"/>
    <w:lvl w:ilvl="0" w:tplc="8E304D70">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137AB"/>
    <w:multiLevelType w:val="hybridMultilevel"/>
    <w:tmpl w:val="2B40BBF8"/>
    <w:lvl w:ilvl="0" w:tplc="B606A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4E3BBE"/>
    <w:multiLevelType w:val="hybridMultilevel"/>
    <w:tmpl w:val="9A563C60"/>
    <w:lvl w:ilvl="0" w:tplc="8384FC24">
      <w:start w:val="26"/>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08693A"/>
    <w:multiLevelType w:val="multilevel"/>
    <w:tmpl w:val="3E7EFD08"/>
    <w:styleLink w:val="WW8Num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54B38B9"/>
    <w:multiLevelType w:val="hybridMultilevel"/>
    <w:tmpl w:val="E72E720E"/>
    <w:lvl w:ilvl="0" w:tplc="577E17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940AA1"/>
    <w:multiLevelType w:val="hybridMultilevel"/>
    <w:tmpl w:val="4C086650"/>
    <w:lvl w:ilvl="0" w:tplc="26F61F1E">
      <w:start w:val="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3E2A91"/>
    <w:multiLevelType w:val="multilevel"/>
    <w:tmpl w:val="7F8C9A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5"/>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4"/>
  </w:num>
  <w:num w:numId="11">
    <w:abstractNumId w:val="8"/>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B2"/>
    <w:rsid w:val="00000D1F"/>
    <w:rsid w:val="00002672"/>
    <w:rsid w:val="00003313"/>
    <w:rsid w:val="0000422A"/>
    <w:rsid w:val="00006353"/>
    <w:rsid w:val="000078C9"/>
    <w:rsid w:val="00007C45"/>
    <w:rsid w:val="00011A26"/>
    <w:rsid w:val="000131E7"/>
    <w:rsid w:val="00013E75"/>
    <w:rsid w:val="00014032"/>
    <w:rsid w:val="00016A8F"/>
    <w:rsid w:val="000205BC"/>
    <w:rsid w:val="00021ABA"/>
    <w:rsid w:val="000223CC"/>
    <w:rsid w:val="00027ABA"/>
    <w:rsid w:val="00027E5F"/>
    <w:rsid w:val="000312AD"/>
    <w:rsid w:val="00032ED5"/>
    <w:rsid w:val="00032EEE"/>
    <w:rsid w:val="000342ED"/>
    <w:rsid w:val="00035A91"/>
    <w:rsid w:val="00035DD4"/>
    <w:rsid w:val="000375C2"/>
    <w:rsid w:val="000430B8"/>
    <w:rsid w:val="000439AC"/>
    <w:rsid w:val="000445B1"/>
    <w:rsid w:val="0004551D"/>
    <w:rsid w:val="00047060"/>
    <w:rsid w:val="000477E4"/>
    <w:rsid w:val="00050673"/>
    <w:rsid w:val="00052168"/>
    <w:rsid w:val="00053625"/>
    <w:rsid w:val="00054C06"/>
    <w:rsid w:val="000556D6"/>
    <w:rsid w:val="00055B14"/>
    <w:rsid w:val="000564C1"/>
    <w:rsid w:val="00056643"/>
    <w:rsid w:val="000566AD"/>
    <w:rsid w:val="0006073F"/>
    <w:rsid w:val="00065003"/>
    <w:rsid w:val="00066C2E"/>
    <w:rsid w:val="00067E46"/>
    <w:rsid w:val="000709A4"/>
    <w:rsid w:val="00070A94"/>
    <w:rsid w:val="00072771"/>
    <w:rsid w:val="0007481B"/>
    <w:rsid w:val="00076B84"/>
    <w:rsid w:val="00080F41"/>
    <w:rsid w:val="00082229"/>
    <w:rsid w:val="00083948"/>
    <w:rsid w:val="00084383"/>
    <w:rsid w:val="00085B74"/>
    <w:rsid w:val="0008618E"/>
    <w:rsid w:val="00086281"/>
    <w:rsid w:val="00086A87"/>
    <w:rsid w:val="000900CE"/>
    <w:rsid w:val="00090510"/>
    <w:rsid w:val="0009088C"/>
    <w:rsid w:val="00090CBE"/>
    <w:rsid w:val="0009114D"/>
    <w:rsid w:val="0009123C"/>
    <w:rsid w:val="00093BAA"/>
    <w:rsid w:val="00093D64"/>
    <w:rsid w:val="000941CD"/>
    <w:rsid w:val="000947B8"/>
    <w:rsid w:val="0009717C"/>
    <w:rsid w:val="000A1351"/>
    <w:rsid w:val="000A18F1"/>
    <w:rsid w:val="000A1E08"/>
    <w:rsid w:val="000A3513"/>
    <w:rsid w:val="000A4800"/>
    <w:rsid w:val="000A757D"/>
    <w:rsid w:val="000B0325"/>
    <w:rsid w:val="000B2EE2"/>
    <w:rsid w:val="000B31A2"/>
    <w:rsid w:val="000B4B89"/>
    <w:rsid w:val="000B6378"/>
    <w:rsid w:val="000B642D"/>
    <w:rsid w:val="000B702D"/>
    <w:rsid w:val="000C0E60"/>
    <w:rsid w:val="000C1AE9"/>
    <w:rsid w:val="000C26BA"/>
    <w:rsid w:val="000C3AE5"/>
    <w:rsid w:val="000C46A9"/>
    <w:rsid w:val="000C46B9"/>
    <w:rsid w:val="000C6814"/>
    <w:rsid w:val="000C6C9C"/>
    <w:rsid w:val="000C7E4F"/>
    <w:rsid w:val="000D0358"/>
    <w:rsid w:val="000D0F1A"/>
    <w:rsid w:val="000D1896"/>
    <w:rsid w:val="000D246B"/>
    <w:rsid w:val="000D279B"/>
    <w:rsid w:val="000D479E"/>
    <w:rsid w:val="000D4BF7"/>
    <w:rsid w:val="000D5082"/>
    <w:rsid w:val="000E0058"/>
    <w:rsid w:val="000E085A"/>
    <w:rsid w:val="000E11C2"/>
    <w:rsid w:val="000E214C"/>
    <w:rsid w:val="000E266C"/>
    <w:rsid w:val="000E42EF"/>
    <w:rsid w:val="000E585C"/>
    <w:rsid w:val="000E7E7B"/>
    <w:rsid w:val="000F09B8"/>
    <w:rsid w:val="000F0A9F"/>
    <w:rsid w:val="000F1576"/>
    <w:rsid w:val="000F2C84"/>
    <w:rsid w:val="000F3D1A"/>
    <w:rsid w:val="000F4149"/>
    <w:rsid w:val="000F5593"/>
    <w:rsid w:val="000F64F1"/>
    <w:rsid w:val="000F73E7"/>
    <w:rsid w:val="000F76EA"/>
    <w:rsid w:val="00105603"/>
    <w:rsid w:val="001101AD"/>
    <w:rsid w:val="001105A2"/>
    <w:rsid w:val="00111054"/>
    <w:rsid w:val="001124BE"/>
    <w:rsid w:val="00112C12"/>
    <w:rsid w:val="00112C74"/>
    <w:rsid w:val="00114A88"/>
    <w:rsid w:val="00120B7B"/>
    <w:rsid w:val="00121297"/>
    <w:rsid w:val="00122D25"/>
    <w:rsid w:val="001251B2"/>
    <w:rsid w:val="00126CEC"/>
    <w:rsid w:val="00127182"/>
    <w:rsid w:val="00127476"/>
    <w:rsid w:val="0012782A"/>
    <w:rsid w:val="00127E47"/>
    <w:rsid w:val="00131382"/>
    <w:rsid w:val="00131548"/>
    <w:rsid w:val="001318CF"/>
    <w:rsid w:val="0013270F"/>
    <w:rsid w:val="00134DC0"/>
    <w:rsid w:val="00136395"/>
    <w:rsid w:val="00136CC8"/>
    <w:rsid w:val="001374FB"/>
    <w:rsid w:val="00137E41"/>
    <w:rsid w:val="00142425"/>
    <w:rsid w:val="001436E7"/>
    <w:rsid w:val="001447D1"/>
    <w:rsid w:val="00144C1F"/>
    <w:rsid w:val="001472FD"/>
    <w:rsid w:val="001520F9"/>
    <w:rsid w:val="001604B4"/>
    <w:rsid w:val="00162638"/>
    <w:rsid w:val="00162E65"/>
    <w:rsid w:val="00163283"/>
    <w:rsid w:val="00166EE3"/>
    <w:rsid w:val="00170B3B"/>
    <w:rsid w:val="00172E63"/>
    <w:rsid w:val="00173F7B"/>
    <w:rsid w:val="0017473C"/>
    <w:rsid w:val="001749A2"/>
    <w:rsid w:val="00175092"/>
    <w:rsid w:val="00175BCB"/>
    <w:rsid w:val="00175CC0"/>
    <w:rsid w:val="00177013"/>
    <w:rsid w:val="001770C5"/>
    <w:rsid w:val="001805E6"/>
    <w:rsid w:val="00182786"/>
    <w:rsid w:val="0018598A"/>
    <w:rsid w:val="001861CE"/>
    <w:rsid w:val="001870ED"/>
    <w:rsid w:val="00187BE4"/>
    <w:rsid w:val="00187EF6"/>
    <w:rsid w:val="001904DF"/>
    <w:rsid w:val="00190616"/>
    <w:rsid w:val="00192586"/>
    <w:rsid w:val="00197DF9"/>
    <w:rsid w:val="001A0EC3"/>
    <w:rsid w:val="001A1D20"/>
    <w:rsid w:val="001A4B03"/>
    <w:rsid w:val="001B0C0A"/>
    <w:rsid w:val="001B101F"/>
    <w:rsid w:val="001B11A8"/>
    <w:rsid w:val="001B2C4A"/>
    <w:rsid w:val="001B3133"/>
    <w:rsid w:val="001B36E1"/>
    <w:rsid w:val="001B6C95"/>
    <w:rsid w:val="001C059A"/>
    <w:rsid w:val="001C1FF5"/>
    <w:rsid w:val="001C454F"/>
    <w:rsid w:val="001C7277"/>
    <w:rsid w:val="001D0246"/>
    <w:rsid w:val="001D09E5"/>
    <w:rsid w:val="001D0CBA"/>
    <w:rsid w:val="001D459C"/>
    <w:rsid w:val="001D73D4"/>
    <w:rsid w:val="001D7A2F"/>
    <w:rsid w:val="001E2E31"/>
    <w:rsid w:val="001E4325"/>
    <w:rsid w:val="001E4C89"/>
    <w:rsid w:val="001E624B"/>
    <w:rsid w:val="001E676B"/>
    <w:rsid w:val="001E6F44"/>
    <w:rsid w:val="001E7AE5"/>
    <w:rsid w:val="001F33E0"/>
    <w:rsid w:val="001F3FA9"/>
    <w:rsid w:val="001F4A7E"/>
    <w:rsid w:val="001F7CB1"/>
    <w:rsid w:val="00200B53"/>
    <w:rsid w:val="00202293"/>
    <w:rsid w:val="00203C9A"/>
    <w:rsid w:val="00203FFA"/>
    <w:rsid w:val="00204738"/>
    <w:rsid w:val="00205858"/>
    <w:rsid w:val="002062CB"/>
    <w:rsid w:val="00206465"/>
    <w:rsid w:val="00215D3F"/>
    <w:rsid w:val="00217B5E"/>
    <w:rsid w:val="002208C9"/>
    <w:rsid w:val="002215B0"/>
    <w:rsid w:val="002238D7"/>
    <w:rsid w:val="002239C6"/>
    <w:rsid w:val="00223C37"/>
    <w:rsid w:val="0022514B"/>
    <w:rsid w:val="00225438"/>
    <w:rsid w:val="002254CE"/>
    <w:rsid w:val="00225849"/>
    <w:rsid w:val="00225D53"/>
    <w:rsid w:val="00225F08"/>
    <w:rsid w:val="0022787C"/>
    <w:rsid w:val="00230C38"/>
    <w:rsid w:val="002320AB"/>
    <w:rsid w:val="002332BC"/>
    <w:rsid w:val="0023404D"/>
    <w:rsid w:val="00234C6C"/>
    <w:rsid w:val="0023514F"/>
    <w:rsid w:val="00242EEE"/>
    <w:rsid w:val="00243751"/>
    <w:rsid w:val="002468C4"/>
    <w:rsid w:val="00247D01"/>
    <w:rsid w:val="002541CB"/>
    <w:rsid w:val="00256BD3"/>
    <w:rsid w:val="0025789C"/>
    <w:rsid w:val="00257EBC"/>
    <w:rsid w:val="002604BD"/>
    <w:rsid w:val="00261EFB"/>
    <w:rsid w:val="0026536C"/>
    <w:rsid w:val="0026628B"/>
    <w:rsid w:val="0026700C"/>
    <w:rsid w:val="00267332"/>
    <w:rsid w:val="00267BB0"/>
    <w:rsid w:val="00270732"/>
    <w:rsid w:val="00275871"/>
    <w:rsid w:val="00276889"/>
    <w:rsid w:val="00276E56"/>
    <w:rsid w:val="00277E99"/>
    <w:rsid w:val="0028044E"/>
    <w:rsid w:val="00281864"/>
    <w:rsid w:val="00282246"/>
    <w:rsid w:val="00283C31"/>
    <w:rsid w:val="00290E6B"/>
    <w:rsid w:val="00290F97"/>
    <w:rsid w:val="00293786"/>
    <w:rsid w:val="00293D58"/>
    <w:rsid w:val="00296A93"/>
    <w:rsid w:val="0029705F"/>
    <w:rsid w:val="002A056E"/>
    <w:rsid w:val="002A1068"/>
    <w:rsid w:val="002A1930"/>
    <w:rsid w:val="002A261F"/>
    <w:rsid w:val="002A3058"/>
    <w:rsid w:val="002A4DD7"/>
    <w:rsid w:val="002A4F7C"/>
    <w:rsid w:val="002A51BD"/>
    <w:rsid w:val="002A5464"/>
    <w:rsid w:val="002A757B"/>
    <w:rsid w:val="002B1F28"/>
    <w:rsid w:val="002B53A5"/>
    <w:rsid w:val="002B5FAD"/>
    <w:rsid w:val="002B659C"/>
    <w:rsid w:val="002B692B"/>
    <w:rsid w:val="002B6E0F"/>
    <w:rsid w:val="002C01BE"/>
    <w:rsid w:val="002C0E49"/>
    <w:rsid w:val="002C2A8E"/>
    <w:rsid w:val="002C32EA"/>
    <w:rsid w:val="002C5048"/>
    <w:rsid w:val="002C5669"/>
    <w:rsid w:val="002D18CA"/>
    <w:rsid w:val="002D212B"/>
    <w:rsid w:val="002D2701"/>
    <w:rsid w:val="002D2BE3"/>
    <w:rsid w:val="002D534F"/>
    <w:rsid w:val="002D5771"/>
    <w:rsid w:val="002D5E55"/>
    <w:rsid w:val="002D7E0B"/>
    <w:rsid w:val="002E087C"/>
    <w:rsid w:val="002E201E"/>
    <w:rsid w:val="002E2D63"/>
    <w:rsid w:val="002E3834"/>
    <w:rsid w:val="002E4F6D"/>
    <w:rsid w:val="002E51FF"/>
    <w:rsid w:val="002E5EA6"/>
    <w:rsid w:val="002E61C9"/>
    <w:rsid w:val="002F07AD"/>
    <w:rsid w:val="002F1406"/>
    <w:rsid w:val="002F30C0"/>
    <w:rsid w:val="002F3371"/>
    <w:rsid w:val="002F3B3F"/>
    <w:rsid w:val="002F4C8F"/>
    <w:rsid w:val="002F5394"/>
    <w:rsid w:val="0030041B"/>
    <w:rsid w:val="00300A22"/>
    <w:rsid w:val="003050F2"/>
    <w:rsid w:val="0030644F"/>
    <w:rsid w:val="003103D0"/>
    <w:rsid w:val="00311740"/>
    <w:rsid w:val="00312429"/>
    <w:rsid w:val="003128D8"/>
    <w:rsid w:val="00312B5D"/>
    <w:rsid w:val="00315A76"/>
    <w:rsid w:val="00315FC0"/>
    <w:rsid w:val="0031602E"/>
    <w:rsid w:val="00317123"/>
    <w:rsid w:val="003178AF"/>
    <w:rsid w:val="00317B8B"/>
    <w:rsid w:val="00317D4E"/>
    <w:rsid w:val="003206AC"/>
    <w:rsid w:val="00321EE6"/>
    <w:rsid w:val="00323C02"/>
    <w:rsid w:val="003255BE"/>
    <w:rsid w:val="003256C3"/>
    <w:rsid w:val="00327CC1"/>
    <w:rsid w:val="00330A7C"/>
    <w:rsid w:val="00331213"/>
    <w:rsid w:val="0033206C"/>
    <w:rsid w:val="0033283D"/>
    <w:rsid w:val="00332A0E"/>
    <w:rsid w:val="00332B81"/>
    <w:rsid w:val="0033551A"/>
    <w:rsid w:val="00337E47"/>
    <w:rsid w:val="003403C2"/>
    <w:rsid w:val="003418E8"/>
    <w:rsid w:val="00341F7D"/>
    <w:rsid w:val="00343811"/>
    <w:rsid w:val="0034563B"/>
    <w:rsid w:val="003459CF"/>
    <w:rsid w:val="00345DB5"/>
    <w:rsid w:val="00345DFF"/>
    <w:rsid w:val="0035043B"/>
    <w:rsid w:val="003526DE"/>
    <w:rsid w:val="00352EF1"/>
    <w:rsid w:val="0035373A"/>
    <w:rsid w:val="0035383E"/>
    <w:rsid w:val="00355AAD"/>
    <w:rsid w:val="0035620E"/>
    <w:rsid w:val="00356887"/>
    <w:rsid w:val="00356FBF"/>
    <w:rsid w:val="003571D6"/>
    <w:rsid w:val="00360A50"/>
    <w:rsid w:val="0036202A"/>
    <w:rsid w:val="0036205B"/>
    <w:rsid w:val="00370CF5"/>
    <w:rsid w:val="00371AF1"/>
    <w:rsid w:val="00371C56"/>
    <w:rsid w:val="00371D2A"/>
    <w:rsid w:val="00374673"/>
    <w:rsid w:val="00377C7C"/>
    <w:rsid w:val="0038262E"/>
    <w:rsid w:val="003859EF"/>
    <w:rsid w:val="00385BBD"/>
    <w:rsid w:val="00391817"/>
    <w:rsid w:val="00391E88"/>
    <w:rsid w:val="00392A98"/>
    <w:rsid w:val="003940B6"/>
    <w:rsid w:val="00394E6A"/>
    <w:rsid w:val="003960B4"/>
    <w:rsid w:val="0039611D"/>
    <w:rsid w:val="003962D1"/>
    <w:rsid w:val="003964B9"/>
    <w:rsid w:val="00396E78"/>
    <w:rsid w:val="003A04ED"/>
    <w:rsid w:val="003A27DD"/>
    <w:rsid w:val="003A5D97"/>
    <w:rsid w:val="003A7836"/>
    <w:rsid w:val="003B0897"/>
    <w:rsid w:val="003B1290"/>
    <w:rsid w:val="003B3C4A"/>
    <w:rsid w:val="003B3D96"/>
    <w:rsid w:val="003B5AF8"/>
    <w:rsid w:val="003B6CE7"/>
    <w:rsid w:val="003B71D6"/>
    <w:rsid w:val="003B7350"/>
    <w:rsid w:val="003C146C"/>
    <w:rsid w:val="003C1A7A"/>
    <w:rsid w:val="003C3561"/>
    <w:rsid w:val="003C4970"/>
    <w:rsid w:val="003C49BA"/>
    <w:rsid w:val="003C5683"/>
    <w:rsid w:val="003C71A9"/>
    <w:rsid w:val="003C738B"/>
    <w:rsid w:val="003D175F"/>
    <w:rsid w:val="003D1DE7"/>
    <w:rsid w:val="003D28FF"/>
    <w:rsid w:val="003D2ABF"/>
    <w:rsid w:val="003D54D6"/>
    <w:rsid w:val="003D60A2"/>
    <w:rsid w:val="003D648B"/>
    <w:rsid w:val="003D6904"/>
    <w:rsid w:val="003D6992"/>
    <w:rsid w:val="003D735F"/>
    <w:rsid w:val="003D7B67"/>
    <w:rsid w:val="003E0B9B"/>
    <w:rsid w:val="003E1623"/>
    <w:rsid w:val="003E3232"/>
    <w:rsid w:val="003E3BD8"/>
    <w:rsid w:val="003E599C"/>
    <w:rsid w:val="003E5D84"/>
    <w:rsid w:val="003E6057"/>
    <w:rsid w:val="003E631B"/>
    <w:rsid w:val="003E6725"/>
    <w:rsid w:val="003E740E"/>
    <w:rsid w:val="003E772B"/>
    <w:rsid w:val="003F2278"/>
    <w:rsid w:val="003F2EA0"/>
    <w:rsid w:val="003F3459"/>
    <w:rsid w:val="003F67EF"/>
    <w:rsid w:val="0040094B"/>
    <w:rsid w:val="00401824"/>
    <w:rsid w:val="00403094"/>
    <w:rsid w:val="00405802"/>
    <w:rsid w:val="004070E7"/>
    <w:rsid w:val="00410A66"/>
    <w:rsid w:val="00411647"/>
    <w:rsid w:val="004125DC"/>
    <w:rsid w:val="0041354D"/>
    <w:rsid w:val="00414706"/>
    <w:rsid w:val="00421837"/>
    <w:rsid w:val="00422E39"/>
    <w:rsid w:val="0042486D"/>
    <w:rsid w:val="004253D4"/>
    <w:rsid w:val="00426E85"/>
    <w:rsid w:val="00427B0A"/>
    <w:rsid w:val="004313FF"/>
    <w:rsid w:val="00433C89"/>
    <w:rsid w:val="00434525"/>
    <w:rsid w:val="00434F79"/>
    <w:rsid w:val="00436D37"/>
    <w:rsid w:val="00437F63"/>
    <w:rsid w:val="004414B0"/>
    <w:rsid w:val="00441578"/>
    <w:rsid w:val="004425C9"/>
    <w:rsid w:val="00442ECF"/>
    <w:rsid w:val="004432AF"/>
    <w:rsid w:val="00443F34"/>
    <w:rsid w:val="00444097"/>
    <w:rsid w:val="00444321"/>
    <w:rsid w:val="0044492E"/>
    <w:rsid w:val="00446A5B"/>
    <w:rsid w:val="00447400"/>
    <w:rsid w:val="00447852"/>
    <w:rsid w:val="004479D2"/>
    <w:rsid w:val="00450E9A"/>
    <w:rsid w:val="00452817"/>
    <w:rsid w:val="00455A81"/>
    <w:rsid w:val="0046523E"/>
    <w:rsid w:val="00466823"/>
    <w:rsid w:val="004670F9"/>
    <w:rsid w:val="004676BE"/>
    <w:rsid w:val="0047042A"/>
    <w:rsid w:val="004715A6"/>
    <w:rsid w:val="00471775"/>
    <w:rsid w:val="00472D2F"/>
    <w:rsid w:val="004731F0"/>
    <w:rsid w:val="00480111"/>
    <w:rsid w:val="00481055"/>
    <w:rsid w:val="00481989"/>
    <w:rsid w:val="00484062"/>
    <w:rsid w:val="00485F36"/>
    <w:rsid w:val="0048683A"/>
    <w:rsid w:val="004868D6"/>
    <w:rsid w:val="00487251"/>
    <w:rsid w:val="0048761E"/>
    <w:rsid w:val="004912EA"/>
    <w:rsid w:val="00491377"/>
    <w:rsid w:val="00492434"/>
    <w:rsid w:val="004930C1"/>
    <w:rsid w:val="004935F2"/>
    <w:rsid w:val="00496243"/>
    <w:rsid w:val="004A3924"/>
    <w:rsid w:val="004A512F"/>
    <w:rsid w:val="004A65C8"/>
    <w:rsid w:val="004B3AC2"/>
    <w:rsid w:val="004B4A72"/>
    <w:rsid w:val="004B5475"/>
    <w:rsid w:val="004C1A5B"/>
    <w:rsid w:val="004C2806"/>
    <w:rsid w:val="004C4507"/>
    <w:rsid w:val="004C4A59"/>
    <w:rsid w:val="004C582D"/>
    <w:rsid w:val="004C7EB0"/>
    <w:rsid w:val="004D066F"/>
    <w:rsid w:val="004D225B"/>
    <w:rsid w:val="004D2378"/>
    <w:rsid w:val="004D2F66"/>
    <w:rsid w:val="004D3ADA"/>
    <w:rsid w:val="004D4660"/>
    <w:rsid w:val="004D4E54"/>
    <w:rsid w:val="004D5945"/>
    <w:rsid w:val="004D5FD7"/>
    <w:rsid w:val="004E0912"/>
    <w:rsid w:val="004E19CF"/>
    <w:rsid w:val="004E2CE7"/>
    <w:rsid w:val="004E394F"/>
    <w:rsid w:val="004E4D4B"/>
    <w:rsid w:val="004E53D5"/>
    <w:rsid w:val="004E5A23"/>
    <w:rsid w:val="004F20C1"/>
    <w:rsid w:val="004F3361"/>
    <w:rsid w:val="004F4D0E"/>
    <w:rsid w:val="004F559D"/>
    <w:rsid w:val="005001B7"/>
    <w:rsid w:val="00501E30"/>
    <w:rsid w:val="005026CB"/>
    <w:rsid w:val="00502B80"/>
    <w:rsid w:val="00503B4E"/>
    <w:rsid w:val="00505499"/>
    <w:rsid w:val="00507E42"/>
    <w:rsid w:val="0051206F"/>
    <w:rsid w:val="00512831"/>
    <w:rsid w:val="00515AB5"/>
    <w:rsid w:val="00515B5A"/>
    <w:rsid w:val="00515C3E"/>
    <w:rsid w:val="00517051"/>
    <w:rsid w:val="0051728A"/>
    <w:rsid w:val="005205B3"/>
    <w:rsid w:val="0052129D"/>
    <w:rsid w:val="005214FB"/>
    <w:rsid w:val="00521830"/>
    <w:rsid w:val="00521D76"/>
    <w:rsid w:val="005220F3"/>
    <w:rsid w:val="00522839"/>
    <w:rsid w:val="00522E7F"/>
    <w:rsid w:val="00523C89"/>
    <w:rsid w:val="00524AB8"/>
    <w:rsid w:val="005269BC"/>
    <w:rsid w:val="00526C7B"/>
    <w:rsid w:val="005301E6"/>
    <w:rsid w:val="00530AED"/>
    <w:rsid w:val="00531D51"/>
    <w:rsid w:val="005334D9"/>
    <w:rsid w:val="00540980"/>
    <w:rsid w:val="00540E2F"/>
    <w:rsid w:val="00543663"/>
    <w:rsid w:val="00544A91"/>
    <w:rsid w:val="00546FD4"/>
    <w:rsid w:val="00554E22"/>
    <w:rsid w:val="00556C96"/>
    <w:rsid w:val="005573BB"/>
    <w:rsid w:val="00561467"/>
    <w:rsid w:val="0056203D"/>
    <w:rsid w:val="00562319"/>
    <w:rsid w:val="0056313F"/>
    <w:rsid w:val="005636FC"/>
    <w:rsid w:val="0056440C"/>
    <w:rsid w:val="00564B22"/>
    <w:rsid w:val="005654E3"/>
    <w:rsid w:val="005655F1"/>
    <w:rsid w:val="0056792D"/>
    <w:rsid w:val="00567E14"/>
    <w:rsid w:val="0057233F"/>
    <w:rsid w:val="005761B4"/>
    <w:rsid w:val="005779C7"/>
    <w:rsid w:val="00577AAC"/>
    <w:rsid w:val="005820AA"/>
    <w:rsid w:val="00584193"/>
    <w:rsid w:val="005865B6"/>
    <w:rsid w:val="00587E4F"/>
    <w:rsid w:val="0059140C"/>
    <w:rsid w:val="005928DF"/>
    <w:rsid w:val="005945F0"/>
    <w:rsid w:val="00594A98"/>
    <w:rsid w:val="00595FFC"/>
    <w:rsid w:val="00597CC5"/>
    <w:rsid w:val="005A0450"/>
    <w:rsid w:val="005A07F8"/>
    <w:rsid w:val="005A0E16"/>
    <w:rsid w:val="005A1C7D"/>
    <w:rsid w:val="005A4B88"/>
    <w:rsid w:val="005A4B9D"/>
    <w:rsid w:val="005A5467"/>
    <w:rsid w:val="005B0844"/>
    <w:rsid w:val="005B0B5B"/>
    <w:rsid w:val="005B16FD"/>
    <w:rsid w:val="005B1A44"/>
    <w:rsid w:val="005B1F6F"/>
    <w:rsid w:val="005B29D3"/>
    <w:rsid w:val="005B2B94"/>
    <w:rsid w:val="005B2EAD"/>
    <w:rsid w:val="005B569E"/>
    <w:rsid w:val="005B5E83"/>
    <w:rsid w:val="005C1802"/>
    <w:rsid w:val="005C271F"/>
    <w:rsid w:val="005C3B7C"/>
    <w:rsid w:val="005C44BE"/>
    <w:rsid w:val="005C4C90"/>
    <w:rsid w:val="005C4DE6"/>
    <w:rsid w:val="005C5276"/>
    <w:rsid w:val="005C6FB0"/>
    <w:rsid w:val="005D03E2"/>
    <w:rsid w:val="005D072B"/>
    <w:rsid w:val="005D088A"/>
    <w:rsid w:val="005D221C"/>
    <w:rsid w:val="005D4869"/>
    <w:rsid w:val="005D6247"/>
    <w:rsid w:val="005D6C24"/>
    <w:rsid w:val="005D72D5"/>
    <w:rsid w:val="005D74D3"/>
    <w:rsid w:val="005E00F2"/>
    <w:rsid w:val="005E1614"/>
    <w:rsid w:val="005E2095"/>
    <w:rsid w:val="005E288C"/>
    <w:rsid w:val="005E642F"/>
    <w:rsid w:val="005F10AE"/>
    <w:rsid w:val="005F133D"/>
    <w:rsid w:val="005F190F"/>
    <w:rsid w:val="005F54F5"/>
    <w:rsid w:val="005F60D9"/>
    <w:rsid w:val="005F624E"/>
    <w:rsid w:val="005F6C02"/>
    <w:rsid w:val="00600D70"/>
    <w:rsid w:val="00601D28"/>
    <w:rsid w:val="00602F54"/>
    <w:rsid w:val="00605227"/>
    <w:rsid w:val="00605C1F"/>
    <w:rsid w:val="00605C30"/>
    <w:rsid w:val="0060642C"/>
    <w:rsid w:val="00606D00"/>
    <w:rsid w:val="00606EB2"/>
    <w:rsid w:val="00612FC6"/>
    <w:rsid w:val="006133B2"/>
    <w:rsid w:val="00613D39"/>
    <w:rsid w:val="00614300"/>
    <w:rsid w:val="0061520C"/>
    <w:rsid w:val="006157A9"/>
    <w:rsid w:val="006177BB"/>
    <w:rsid w:val="00620E25"/>
    <w:rsid w:val="0062124C"/>
    <w:rsid w:val="0062156D"/>
    <w:rsid w:val="006239A6"/>
    <w:rsid w:val="006240F6"/>
    <w:rsid w:val="00625E1A"/>
    <w:rsid w:val="006269B6"/>
    <w:rsid w:val="006317C1"/>
    <w:rsid w:val="00631A91"/>
    <w:rsid w:val="00632CDC"/>
    <w:rsid w:val="006348E8"/>
    <w:rsid w:val="00637027"/>
    <w:rsid w:val="0064072D"/>
    <w:rsid w:val="00640D25"/>
    <w:rsid w:val="0064140F"/>
    <w:rsid w:val="00641673"/>
    <w:rsid w:val="00642781"/>
    <w:rsid w:val="00643A0A"/>
    <w:rsid w:val="00643EC2"/>
    <w:rsid w:val="0064508D"/>
    <w:rsid w:val="00646D5F"/>
    <w:rsid w:val="00647292"/>
    <w:rsid w:val="00647C6E"/>
    <w:rsid w:val="00650456"/>
    <w:rsid w:val="006525FF"/>
    <w:rsid w:val="006533C9"/>
    <w:rsid w:val="006539EF"/>
    <w:rsid w:val="00655F3B"/>
    <w:rsid w:val="00657BC9"/>
    <w:rsid w:val="00660184"/>
    <w:rsid w:val="00662FC1"/>
    <w:rsid w:val="00663230"/>
    <w:rsid w:val="00666A8F"/>
    <w:rsid w:val="00666B60"/>
    <w:rsid w:val="00666DFD"/>
    <w:rsid w:val="00667428"/>
    <w:rsid w:val="00672523"/>
    <w:rsid w:val="00673DDD"/>
    <w:rsid w:val="00673FA5"/>
    <w:rsid w:val="00676978"/>
    <w:rsid w:val="006808B9"/>
    <w:rsid w:val="006809B9"/>
    <w:rsid w:val="0068150B"/>
    <w:rsid w:val="00681522"/>
    <w:rsid w:val="00681A28"/>
    <w:rsid w:val="00682B63"/>
    <w:rsid w:val="00685351"/>
    <w:rsid w:val="006910F6"/>
    <w:rsid w:val="00694D78"/>
    <w:rsid w:val="00695EB0"/>
    <w:rsid w:val="00697E5E"/>
    <w:rsid w:val="006A06DE"/>
    <w:rsid w:val="006A2C5D"/>
    <w:rsid w:val="006A3C36"/>
    <w:rsid w:val="006A55E0"/>
    <w:rsid w:val="006A610F"/>
    <w:rsid w:val="006B04FA"/>
    <w:rsid w:val="006B1924"/>
    <w:rsid w:val="006B343B"/>
    <w:rsid w:val="006B5009"/>
    <w:rsid w:val="006B5238"/>
    <w:rsid w:val="006B6266"/>
    <w:rsid w:val="006B6A33"/>
    <w:rsid w:val="006B77BE"/>
    <w:rsid w:val="006C15F1"/>
    <w:rsid w:val="006C328C"/>
    <w:rsid w:val="006C47D8"/>
    <w:rsid w:val="006C5566"/>
    <w:rsid w:val="006C5B7F"/>
    <w:rsid w:val="006C719C"/>
    <w:rsid w:val="006D0DB5"/>
    <w:rsid w:val="006D255E"/>
    <w:rsid w:val="006D35E8"/>
    <w:rsid w:val="006D5D99"/>
    <w:rsid w:val="006D6432"/>
    <w:rsid w:val="006D6D58"/>
    <w:rsid w:val="006E0E6F"/>
    <w:rsid w:val="006E32B5"/>
    <w:rsid w:val="006E37BF"/>
    <w:rsid w:val="006E5480"/>
    <w:rsid w:val="006E7ADE"/>
    <w:rsid w:val="006F0578"/>
    <w:rsid w:val="006F17AD"/>
    <w:rsid w:val="006F2641"/>
    <w:rsid w:val="006F2913"/>
    <w:rsid w:val="006F2F8F"/>
    <w:rsid w:val="006F4BDA"/>
    <w:rsid w:val="006F4E83"/>
    <w:rsid w:val="006F5634"/>
    <w:rsid w:val="006F7B32"/>
    <w:rsid w:val="00703107"/>
    <w:rsid w:val="007035B4"/>
    <w:rsid w:val="00710C4F"/>
    <w:rsid w:val="00710F37"/>
    <w:rsid w:val="00711894"/>
    <w:rsid w:val="00714D0D"/>
    <w:rsid w:val="00714F41"/>
    <w:rsid w:val="00715951"/>
    <w:rsid w:val="00722FD7"/>
    <w:rsid w:val="00725C04"/>
    <w:rsid w:val="00730058"/>
    <w:rsid w:val="007301EE"/>
    <w:rsid w:val="007310FF"/>
    <w:rsid w:val="00731427"/>
    <w:rsid w:val="00732333"/>
    <w:rsid w:val="00732BB4"/>
    <w:rsid w:val="00735180"/>
    <w:rsid w:val="00735841"/>
    <w:rsid w:val="0073642D"/>
    <w:rsid w:val="007378E0"/>
    <w:rsid w:val="007378FD"/>
    <w:rsid w:val="00741E65"/>
    <w:rsid w:val="00747E65"/>
    <w:rsid w:val="00747ED0"/>
    <w:rsid w:val="0075003E"/>
    <w:rsid w:val="00751E25"/>
    <w:rsid w:val="007524AB"/>
    <w:rsid w:val="0075258D"/>
    <w:rsid w:val="00752D62"/>
    <w:rsid w:val="00753568"/>
    <w:rsid w:val="00754BE6"/>
    <w:rsid w:val="0075627F"/>
    <w:rsid w:val="00761B58"/>
    <w:rsid w:val="00762431"/>
    <w:rsid w:val="0076335E"/>
    <w:rsid w:val="007639FD"/>
    <w:rsid w:val="00764835"/>
    <w:rsid w:val="00766966"/>
    <w:rsid w:val="00766F3A"/>
    <w:rsid w:val="007711C8"/>
    <w:rsid w:val="007715E6"/>
    <w:rsid w:val="00771D60"/>
    <w:rsid w:val="0077303D"/>
    <w:rsid w:val="00773435"/>
    <w:rsid w:val="007738ED"/>
    <w:rsid w:val="00773DBE"/>
    <w:rsid w:val="00774922"/>
    <w:rsid w:val="00775150"/>
    <w:rsid w:val="00775D04"/>
    <w:rsid w:val="007764B4"/>
    <w:rsid w:val="00776B03"/>
    <w:rsid w:val="00780E48"/>
    <w:rsid w:val="007814B1"/>
    <w:rsid w:val="00781A87"/>
    <w:rsid w:val="00783DC9"/>
    <w:rsid w:val="0078426A"/>
    <w:rsid w:val="007865E9"/>
    <w:rsid w:val="0078725F"/>
    <w:rsid w:val="00787953"/>
    <w:rsid w:val="00787EED"/>
    <w:rsid w:val="007900F1"/>
    <w:rsid w:val="00791F1F"/>
    <w:rsid w:val="00792AA4"/>
    <w:rsid w:val="00794D2D"/>
    <w:rsid w:val="0079594A"/>
    <w:rsid w:val="0079716B"/>
    <w:rsid w:val="007A0C39"/>
    <w:rsid w:val="007A163B"/>
    <w:rsid w:val="007A2151"/>
    <w:rsid w:val="007A3CA9"/>
    <w:rsid w:val="007A5C64"/>
    <w:rsid w:val="007A6633"/>
    <w:rsid w:val="007A6C02"/>
    <w:rsid w:val="007A6C66"/>
    <w:rsid w:val="007B0A95"/>
    <w:rsid w:val="007B4BAD"/>
    <w:rsid w:val="007B5399"/>
    <w:rsid w:val="007B6802"/>
    <w:rsid w:val="007C230F"/>
    <w:rsid w:val="007C268D"/>
    <w:rsid w:val="007C3301"/>
    <w:rsid w:val="007C7DE0"/>
    <w:rsid w:val="007D001C"/>
    <w:rsid w:val="007D09C5"/>
    <w:rsid w:val="007D1963"/>
    <w:rsid w:val="007D210D"/>
    <w:rsid w:val="007D2367"/>
    <w:rsid w:val="007D47AA"/>
    <w:rsid w:val="007D4D16"/>
    <w:rsid w:val="007D5D18"/>
    <w:rsid w:val="007D63B4"/>
    <w:rsid w:val="007D755D"/>
    <w:rsid w:val="007D7889"/>
    <w:rsid w:val="007D7ACC"/>
    <w:rsid w:val="007D7C0E"/>
    <w:rsid w:val="007E079F"/>
    <w:rsid w:val="007E0D60"/>
    <w:rsid w:val="007E15E3"/>
    <w:rsid w:val="007E2A0F"/>
    <w:rsid w:val="007E2B55"/>
    <w:rsid w:val="007E2FF8"/>
    <w:rsid w:val="007E32DE"/>
    <w:rsid w:val="007E3C0E"/>
    <w:rsid w:val="007E61A5"/>
    <w:rsid w:val="007E643F"/>
    <w:rsid w:val="007E6C29"/>
    <w:rsid w:val="007E7D9E"/>
    <w:rsid w:val="007F030B"/>
    <w:rsid w:val="007F0DD2"/>
    <w:rsid w:val="007F0F3A"/>
    <w:rsid w:val="007F6512"/>
    <w:rsid w:val="007F6D78"/>
    <w:rsid w:val="00801A5A"/>
    <w:rsid w:val="00802131"/>
    <w:rsid w:val="008033AF"/>
    <w:rsid w:val="0080422D"/>
    <w:rsid w:val="0080543E"/>
    <w:rsid w:val="0080718A"/>
    <w:rsid w:val="0081008D"/>
    <w:rsid w:val="00810A55"/>
    <w:rsid w:val="00811F47"/>
    <w:rsid w:val="00813D22"/>
    <w:rsid w:val="00814497"/>
    <w:rsid w:val="008165CE"/>
    <w:rsid w:val="00817E09"/>
    <w:rsid w:val="008223FB"/>
    <w:rsid w:val="00823114"/>
    <w:rsid w:val="00823531"/>
    <w:rsid w:val="00825EE7"/>
    <w:rsid w:val="00826144"/>
    <w:rsid w:val="00827510"/>
    <w:rsid w:val="00830A8D"/>
    <w:rsid w:val="008358CA"/>
    <w:rsid w:val="00837D21"/>
    <w:rsid w:val="00843A2A"/>
    <w:rsid w:val="00846063"/>
    <w:rsid w:val="0084641A"/>
    <w:rsid w:val="0084726F"/>
    <w:rsid w:val="00850608"/>
    <w:rsid w:val="00855D4D"/>
    <w:rsid w:val="00857235"/>
    <w:rsid w:val="008608F2"/>
    <w:rsid w:val="008613E1"/>
    <w:rsid w:val="0086211B"/>
    <w:rsid w:val="00862D82"/>
    <w:rsid w:val="00864A8B"/>
    <w:rsid w:val="0086505B"/>
    <w:rsid w:val="00865B09"/>
    <w:rsid w:val="00866995"/>
    <w:rsid w:val="00870B12"/>
    <w:rsid w:val="0087347D"/>
    <w:rsid w:val="00873937"/>
    <w:rsid w:val="00875DD4"/>
    <w:rsid w:val="00876FA6"/>
    <w:rsid w:val="008770EF"/>
    <w:rsid w:val="0088578B"/>
    <w:rsid w:val="00885A8A"/>
    <w:rsid w:val="008871DE"/>
    <w:rsid w:val="00887820"/>
    <w:rsid w:val="008902B7"/>
    <w:rsid w:val="00891E36"/>
    <w:rsid w:val="008932BC"/>
    <w:rsid w:val="008A1FA5"/>
    <w:rsid w:val="008A2EC5"/>
    <w:rsid w:val="008A302E"/>
    <w:rsid w:val="008A3540"/>
    <w:rsid w:val="008A3F42"/>
    <w:rsid w:val="008A4464"/>
    <w:rsid w:val="008A6761"/>
    <w:rsid w:val="008A7598"/>
    <w:rsid w:val="008B17DE"/>
    <w:rsid w:val="008B1922"/>
    <w:rsid w:val="008B2B91"/>
    <w:rsid w:val="008B2EE8"/>
    <w:rsid w:val="008B3F0C"/>
    <w:rsid w:val="008B64E4"/>
    <w:rsid w:val="008B7426"/>
    <w:rsid w:val="008B7966"/>
    <w:rsid w:val="008B7FC5"/>
    <w:rsid w:val="008C059A"/>
    <w:rsid w:val="008C11B5"/>
    <w:rsid w:val="008C1515"/>
    <w:rsid w:val="008C1795"/>
    <w:rsid w:val="008C1F0D"/>
    <w:rsid w:val="008C4DE2"/>
    <w:rsid w:val="008C66C8"/>
    <w:rsid w:val="008C7E6D"/>
    <w:rsid w:val="008D02F8"/>
    <w:rsid w:val="008D0DA0"/>
    <w:rsid w:val="008D110A"/>
    <w:rsid w:val="008D1B80"/>
    <w:rsid w:val="008D29B3"/>
    <w:rsid w:val="008D2F57"/>
    <w:rsid w:val="008D3A2A"/>
    <w:rsid w:val="008D5438"/>
    <w:rsid w:val="008D5686"/>
    <w:rsid w:val="008E10F1"/>
    <w:rsid w:val="008E1D10"/>
    <w:rsid w:val="008E2EAB"/>
    <w:rsid w:val="008E4D83"/>
    <w:rsid w:val="008E63FB"/>
    <w:rsid w:val="008E7861"/>
    <w:rsid w:val="008F0601"/>
    <w:rsid w:val="008F0885"/>
    <w:rsid w:val="008F0DA1"/>
    <w:rsid w:val="008F3730"/>
    <w:rsid w:val="008F5969"/>
    <w:rsid w:val="008F7319"/>
    <w:rsid w:val="00901AC6"/>
    <w:rsid w:val="00904503"/>
    <w:rsid w:val="0090534B"/>
    <w:rsid w:val="00907CA7"/>
    <w:rsid w:val="00911EE2"/>
    <w:rsid w:val="0091225D"/>
    <w:rsid w:val="00912D2D"/>
    <w:rsid w:val="00914589"/>
    <w:rsid w:val="00914EA1"/>
    <w:rsid w:val="00915089"/>
    <w:rsid w:val="00915ABF"/>
    <w:rsid w:val="00917C45"/>
    <w:rsid w:val="00917DE0"/>
    <w:rsid w:val="00917EF1"/>
    <w:rsid w:val="0092113A"/>
    <w:rsid w:val="009219F8"/>
    <w:rsid w:val="00925FF3"/>
    <w:rsid w:val="00927872"/>
    <w:rsid w:val="00927B7F"/>
    <w:rsid w:val="009314C8"/>
    <w:rsid w:val="00932B85"/>
    <w:rsid w:val="00934575"/>
    <w:rsid w:val="0093660A"/>
    <w:rsid w:val="0094028B"/>
    <w:rsid w:val="009405CA"/>
    <w:rsid w:val="00941FE6"/>
    <w:rsid w:val="009432EC"/>
    <w:rsid w:val="00943725"/>
    <w:rsid w:val="00943C73"/>
    <w:rsid w:val="009448E1"/>
    <w:rsid w:val="009472F0"/>
    <w:rsid w:val="00947B02"/>
    <w:rsid w:val="009500B1"/>
    <w:rsid w:val="00950985"/>
    <w:rsid w:val="00950BF9"/>
    <w:rsid w:val="00951129"/>
    <w:rsid w:val="0095290C"/>
    <w:rsid w:val="00952AFB"/>
    <w:rsid w:val="00952F27"/>
    <w:rsid w:val="00953833"/>
    <w:rsid w:val="00954E2F"/>
    <w:rsid w:val="00955CAF"/>
    <w:rsid w:val="009568B7"/>
    <w:rsid w:val="00956CE0"/>
    <w:rsid w:val="009576CB"/>
    <w:rsid w:val="009613A2"/>
    <w:rsid w:val="0096220F"/>
    <w:rsid w:val="00962717"/>
    <w:rsid w:val="00962971"/>
    <w:rsid w:val="00963311"/>
    <w:rsid w:val="00964261"/>
    <w:rsid w:val="00966381"/>
    <w:rsid w:val="00967FD0"/>
    <w:rsid w:val="0097152B"/>
    <w:rsid w:val="009717C9"/>
    <w:rsid w:val="00973BD0"/>
    <w:rsid w:val="0097437B"/>
    <w:rsid w:val="00975C0E"/>
    <w:rsid w:val="00976677"/>
    <w:rsid w:val="00976F8F"/>
    <w:rsid w:val="00977F69"/>
    <w:rsid w:val="00980C3D"/>
    <w:rsid w:val="00981AB7"/>
    <w:rsid w:val="009829BA"/>
    <w:rsid w:val="00983786"/>
    <w:rsid w:val="009839F4"/>
    <w:rsid w:val="00985CA0"/>
    <w:rsid w:val="00986939"/>
    <w:rsid w:val="009909F5"/>
    <w:rsid w:val="00991104"/>
    <w:rsid w:val="00991E28"/>
    <w:rsid w:val="0099231A"/>
    <w:rsid w:val="0099367A"/>
    <w:rsid w:val="00993F9F"/>
    <w:rsid w:val="00995508"/>
    <w:rsid w:val="00996554"/>
    <w:rsid w:val="009A6297"/>
    <w:rsid w:val="009A780A"/>
    <w:rsid w:val="009B0715"/>
    <w:rsid w:val="009B07BA"/>
    <w:rsid w:val="009B088C"/>
    <w:rsid w:val="009B3419"/>
    <w:rsid w:val="009B5D2B"/>
    <w:rsid w:val="009B674D"/>
    <w:rsid w:val="009B6A54"/>
    <w:rsid w:val="009B725B"/>
    <w:rsid w:val="009C05D3"/>
    <w:rsid w:val="009C0E09"/>
    <w:rsid w:val="009C2D40"/>
    <w:rsid w:val="009C32BB"/>
    <w:rsid w:val="009C36A4"/>
    <w:rsid w:val="009C3EB1"/>
    <w:rsid w:val="009C461C"/>
    <w:rsid w:val="009C49E0"/>
    <w:rsid w:val="009C4D68"/>
    <w:rsid w:val="009C5080"/>
    <w:rsid w:val="009C5E24"/>
    <w:rsid w:val="009C67C0"/>
    <w:rsid w:val="009C737D"/>
    <w:rsid w:val="009D347F"/>
    <w:rsid w:val="009D3C89"/>
    <w:rsid w:val="009D44A4"/>
    <w:rsid w:val="009D4787"/>
    <w:rsid w:val="009D6A4A"/>
    <w:rsid w:val="009D7545"/>
    <w:rsid w:val="009D7755"/>
    <w:rsid w:val="009D780C"/>
    <w:rsid w:val="009E1BB0"/>
    <w:rsid w:val="009E2169"/>
    <w:rsid w:val="009E2A4C"/>
    <w:rsid w:val="009E2B90"/>
    <w:rsid w:val="009E2ED1"/>
    <w:rsid w:val="009E358B"/>
    <w:rsid w:val="009E44BD"/>
    <w:rsid w:val="009E488A"/>
    <w:rsid w:val="009E4930"/>
    <w:rsid w:val="009E5BD7"/>
    <w:rsid w:val="009E5F24"/>
    <w:rsid w:val="009F22BC"/>
    <w:rsid w:val="009F2E9E"/>
    <w:rsid w:val="009F3233"/>
    <w:rsid w:val="009F6127"/>
    <w:rsid w:val="00A02308"/>
    <w:rsid w:val="00A0329D"/>
    <w:rsid w:val="00A03AB7"/>
    <w:rsid w:val="00A03F40"/>
    <w:rsid w:val="00A07699"/>
    <w:rsid w:val="00A10EED"/>
    <w:rsid w:val="00A118F7"/>
    <w:rsid w:val="00A121B7"/>
    <w:rsid w:val="00A13C2F"/>
    <w:rsid w:val="00A15787"/>
    <w:rsid w:val="00A15CC2"/>
    <w:rsid w:val="00A16E21"/>
    <w:rsid w:val="00A171B8"/>
    <w:rsid w:val="00A17360"/>
    <w:rsid w:val="00A2001D"/>
    <w:rsid w:val="00A25170"/>
    <w:rsid w:val="00A27A21"/>
    <w:rsid w:val="00A304A2"/>
    <w:rsid w:val="00A30856"/>
    <w:rsid w:val="00A30C29"/>
    <w:rsid w:val="00A30DD1"/>
    <w:rsid w:val="00A3100E"/>
    <w:rsid w:val="00A32252"/>
    <w:rsid w:val="00A32845"/>
    <w:rsid w:val="00A335D1"/>
    <w:rsid w:val="00A33F19"/>
    <w:rsid w:val="00A37C38"/>
    <w:rsid w:val="00A41DD1"/>
    <w:rsid w:val="00A424BF"/>
    <w:rsid w:val="00A452CA"/>
    <w:rsid w:val="00A46956"/>
    <w:rsid w:val="00A5298B"/>
    <w:rsid w:val="00A52D6F"/>
    <w:rsid w:val="00A540EA"/>
    <w:rsid w:val="00A56179"/>
    <w:rsid w:val="00A56F32"/>
    <w:rsid w:val="00A6037A"/>
    <w:rsid w:val="00A639D4"/>
    <w:rsid w:val="00A63E85"/>
    <w:rsid w:val="00A66BC4"/>
    <w:rsid w:val="00A67C3F"/>
    <w:rsid w:val="00A701AD"/>
    <w:rsid w:val="00A71857"/>
    <w:rsid w:val="00A720FF"/>
    <w:rsid w:val="00A72440"/>
    <w:rsid w:val="00A7254F"/>
    <w:rsid w:val="00A72D7E"/>
    <w:rsid w:val="00A74288"/>
    <w:rsid w:val="00A744AA"/>
    <w:rsid w:val="00A75829"/>
    <w:rsid w:val="00A7635C"/>
    <w:rsid w:val="00A80AB7"/>
    <w:rsid w:val="00A81D5F"/>
    <w:rsid w:val="00A827BF"/>
    <w:rsid w:val="00A82FFF"/>
    <w:rsid w:val="00A836A4"/>
    <w:rsid w:val="00A87FE6"/>
    <w:rsid w:val="00A909B5"/>
    <w:rsid w:val="00A90A9C"/>
    <w:rsid w:val="00A90AD6"/>
    <w:rsid w:val="00A9183E"/>
    <w:rsid w:val="00A9217B"/>
    <w:rsid w:val="00A92240"/>
    <w:rsid w:val="00A93608"/>
    <w:rsid w:val="00A9688B"/>
    <w:rsid w:val="00AA24DD"/>
    <w:rsid w:val="00AA30C1"/>
    <w:rsid w:val="00AA3EC0"/>
    <w:rsid w:val="00AA6CCB"/>
    <w:rsid w:val="00AB0F49"/>
    <w:rsid w:val="00AB1660"/>
    <w:rsid w:val="00AB210C"/>
    <w:rsid w:val="00AB35D6"/>
    <w:rsid w:val="00AB4743"/>
    <w:rsid w:val="00AB6B0A"/>
    <w:rsid w:val="00AC018E"/>
    <w:rsid w:val="00AC08F1"/>
    <w:rsid w:val="00AC1D82"/>
    <w:rsid w:val="00AC2165"/>
    <w:rsid w:val="00AC34BD"/>
    <w:rsid w:val="00AC479C"/>
    <w:rsid w:val="00AC50F5"/>
    <w:rsid w:val="00AC5EAA"/>
    <w:rsid w:val="00AD044A"/>
    <w:rsid w:val="00AD0945"/>
    <w:rsid w:val="00AD0B63"/>
    <w:rsid w:val="00AD4F44"/>
    <w:rsid w:val="00AD788A"/>
    <w:rsid w:val="00AD7C31"/>
    <w:rsid w:val="00AE30EC"/>
    <w:rsid w:val="00AE4A65"/>
    <w:rsid w:val="00AE54EA"/>
    <w:rsid w:val="00AE72D0"/>
    <w:rsid w:val="00AE7516"/>
    <w:rsid w:val="00AF03AC"/>
    <w:rsid w:val="00AF054C"/>
    <w:rsid w:val="00AF0870"/>
    <w:rsid w:val="00AF142E"/>
    <w:rsid w:val="00AF1B1B"/>
    <w:rsid w:val="00AF25E2"/>
    <w:rsid w:val="00AF2D32"/>
    <w:rsid w:val="00AF4B68"/>
    <w:rsid w:val="00AF54C8"/>
    <w:rsid w:val="00AF6BF4"/>
    <w:rsid w:val="00AF754C"/>
    <w:rsid w:val="00B01DEF"/>
    <w:rsid w:val="00B04229"/>
    <w:rsid w:val="00B055AF"/>
    <w:rsid w:val="00B06A67"/>
    <w:rsid w:val="00B0798C"/>
    <w:rsid w:val="00B10233"/>
    <w:rsid w:val="00B10C3D"/>
    <w:rsid w:val="00B13B63"/>
    <w:rsid w:val="00B14B2D"/>
    <w:rsid w:val="00B159D2"/>
    <w:rsid w:val="00B1612D"/>
    <w:rsid w:val="00B17FFD"/>
    <w:rsid w:val="00B20654"/>
    <w:rsid w:val="00B25C43"/>
    <w:rsid w:val="00B26A1F"/>
    <w:rsid w:val="00B27E40"/>
    <w:rsid w:val="00B3154D"/>
    <w:rsid w:val="00B344CA"/>
    <w:rsid w:val="00B34ACD"/>
    <w:rsid w:val="00B40AED"/>
    <w:rsid w:val="00B41968"/>
    <w:rsid w:val="00B431A2"/>
    <w:rsid w:val="00B4380B"/>
    <w:rsid w:val="00B43B09"/>
    <w:rsid w:val="00B43C8F"/>
    <w:rsid w:val="00B44587"/>
    <w:rsid w:val="00B448D8"/>
    <w:rsid w:val="00B4572B"/>
    <w:rsid w:val="00B45892"/>
    <w:rsid w:val="00B469ED"/>
    <w:rsid w:val="00B51D87"/>
    <w:rsid w:val="00B523F6"/>
    <w:rsid w:val="00B52F79"/>
    <w:rsid w:val="00B53278"/>
    <w:rsid w:val="00B53CC7"/>
    <w:rsid w:val="00B567EB"/>
    <w:rsid w:val="00B574B9"/>
    <w:rsid w:val="00B603C5"/>
    <w:rsid w:val="00B6080A"/>
    <w:rsid w:val="00B61961"/>
    <w:rsid w:val="00B62F19"/>
    <w:rsid w:val="00B64D7A"/>
    <w:rsid w:val="00B651FD"/>
    <w:rsid w:val="00B65429"/>
    <w:rsid w:val="00B655A0"/>
    <w:rsid w:val="00B65C73"/>
    <w:rsid w:val="00B660F8"/>
    <w:rsid w:val="00B6625F"/>
    <w:rsid w:val="00B67176"/>
    <w:rsid w:val="00B67EEC"/>
    <w:rsid w:val="00B72B4F"/>
    <w:rsid w:val="00B72E84"/>
    <w:rsid w:val="00B73D3D"/>
    <w:rsid w:val="00B74668"/>
    <w:rsid w:val="00B75F12"/>
    <w:rsid w:val="00B80070"/>
    <w:rsid w:val="00B80122"/>
    <w:rsid w:val="00B8231E"/>
    <w:rsid w:val="00B83A5F"/>
    <w:rsid w:val="00B8420D"/>
    <w:rsid w:val="00B85279"/>
    <w:rsid w:val="00B86541"/>
    <w:rsid w:val="00B86F9D"/>
    <w:rsid w:val="00B87DC2"/>
    <w:rsid w:val="00B9430F"/>
    <w:rsid w:val="00B94BA7"/>
    <w:rsid w:val="00B95C23"/>
    <w:rsid w:val="00B97D64"/>
    <w:rsid w:val="00B97F93"/>
    <w:rsid w:val="00BA0325"/>
    <w:rsid w:val="00BA0565"/>
    <w:rsid w:val="00BA12A4"/>
    <w:rsid w:val="00BA152B"/>
    <w:rsid w:val="00BA52C7"/>
    <w:rsid w:val="00BA6445"/>
    <w:rsid w:val="00BA6C78"/>
    <w:rsid w:val="00BA6F7E"/>
    <w:rsid w:val="00BA7B37"/>
    <w:rsid w:val="00BA7FBF"/>
    <w:rsid w:val="00BB23CD"/>
    <w:rsid w:val="00BB2829"/>
    <w:rsid w:val="00BC01D1"/>
    <w:rsid w:val="00BC0A44"/>
    <w:rsid w:val="00BC1CC8"/>
    <w:rsid w:val="00BC72C4"/>
    <w:rsid w:val="00BD1FA2"/>
    <w:rsid w:val="00BD2D64"/>
    <w:rsid w:val="00BD4532"/>
    <w:rsid w:val="00BD4DA2"/>
    <w:rsid w:val="00BD5162"/>
    <w:rsid w:val="00BD565A"/>
    <w:rsid w:val="00BD5745"/>
    <w:rsid w:val="00BD596E"/>
    <w:rsid w:val="00BD5C63"/>
    <w:rsid w:val="00BD7C7B"/>
    <w:rsid w:val="00BE1B4B"/>
    <w:rsid w:val="00BE2B74"/>
    <w:rsid w:val="00BE2BFC"/>
    <w:rsid w:val="00BE3F2B"/>
    <w:rsid w:val="00BE431F"/>
    <w:rsid w:val="00BE50C6"/>
    <w:rsid w:val="00BE52C7"/>
    <w:rsid w:val="00BE563F"/>
    <w:rsid w:val="00BE5773"/>
    <w:rsid w:val="00BE63EF"/>
    <w:rsid w:val="00BE6690"/>
    <w:rsid w:val="00BE70CC"/>
    <w:rsid w:val="00BF2197"/>
    <w:rsid w:val="00BF2586"/>
    <w:rsid w:val="00BF31A9"/>
    <w:rsid w:val="00BF33A2"/>
    <w:rsid w:val="00BF53C6"/>
    <w:rsid w:val="00C01A8A"/>
    <w:rsid w:val="00C0221B"/>
    <w:rsid w:val="00C04B40"/>
    <w:rsid w:val="00C05FBC"/>
    <w:rsid w:val="00C063BC"/>
    <w:rsid w:val="00C1092A"/>
    <w:rsid w:val="00C1609D"/>
    <w:rsid w:val="00C17201"/>
    <w:rsid w:val="00C172A6"/>
    <w:rsid w:val="00C20317"/>
    <w:rsid w:val="00C213AE"/>
    <w:rsid w:val="00C239D3"/>
    <w:rsid w:val="00C24696"/>
    <w:rsid w:val="00C273C5"/>
    <w:rsid w:val="00C279D9"/>
    <w:rsid w:val="00C27FA5"/>
    <w:rsid w:val="00C31E7A"/>
    <w:rsid w:val="00C335EC"/>
    <w:rsid w:val="00C33EBA"/>
    <w:rsid w:val="00C36D2A"/>
    <w:rsid w:val="00C375AC"/>
    <w:rsid w:val="00C37C9F"/>
    <w:rsid w:val="00C414B9"/>
    <w:rsid w:val="00C41B27"/>
    <w:rsid w:val="00C4381B"/>
    <w:rsid w:val="00C43A0E"/>
    <w:rsid w:val="00C44BDA"/>
    <w:rsid w:val="00C45CAA"/>
    <w:rsid w:val="00C45D50"/>
    <w:rsid w:val="00C46771"/>
    <w:rsid w:val="00C47072"/>
    <w:rsid w:val="00C47B42"/>
    <w:rsid w:val="00C500B9"/>
    <w:rsid w:val="00C525DF"/>
    <w:rsid w:val="00C530F6"/>
    <w:rsid w:val="00C53A34"/>
    <w:rsid w:val="00C5479E"/>
    <w:rsid w:val="00C57432"/>
    <w:rsid w:val="00C607E4"/>
    <w:rsid w:val="00C61068"/>
    <w:rsid w:val="00C615C5"/>
    <w:rsid w:val="00C61750"/>
    <w:rsid w:val="00C6486B"/>
    <w:rsid w:val="00C64D78"/>
    <w:rsid w:val="00C65883"/>
    <w:rsid w:val="00C65B32"/>
    <w:rsid w:val="00C67197"/>
    <w:rsid w:val="00C6725A"/>
    <w:rsid w:val="00C67FE8"/>
    <w:rsid w:val="00C700B3"/>
    <w:rsid w:val="00C70882"/>
    <w:rsid w:val="00C71A85"/>
    <w:rsid w:val="00C72B29"/>
    <w:rsid w:val="00C730E0"/>
    <w:rsid w:val="00C73DAF"/>
    <w:rsid w:val="00C749C5"/>
    <w:rsid w:val="00C74DBD"/>
    <w:rsid w:val="00C75EBF"/>
    <w:rsid w:val="00C76EF5"/>
    <w:rsid w:val="00C7709C"/>
    <w:rsid w:val="00C77E1C"/>
    <w:rsid w:val="00C8076A"/>
    <w:rsid w:val="00C80FAD"/>
    <w:rsid w:val="00C8725B"/>
    <w:rsid w:val="00C91625"/>
    <w:rsid w:val="00C91D35"/>
    <w:rsid w:val="00C93B77"/>
    <w:rsid w:val="00C94F18"/>
    <w:rsid w:val="00C95E3A"/>
    <w:rsid w:val="00CA1C70"/>
    <w:rsid w:val="00CA284D"/>
    <w:rsid w:val="00CA3063"/>
    <w:rsid w:val="00CA4269"/>
    <w:rsid w:val="00CA58F1"/>
    <w:rsid w:val="00CA64B2"/>
    <w:rsid w:val="00CA68C4"/>
    <w:rsid w:val="00CA77CD"/>
    <w:rsid w:val="00CB0771"/>
    <w:rsid w:val="00CB0A58"/>
    <w:rsid w:val="00CB16E1"/>
    <w:rsid w:val="00CB1A32"/>
    <w:rsid w:val="00CB1F0D"/>
    <w:rsid w:val="00CB43AE"/>
    <w:rsid w:val="00CB52B5"/>
    <w:rsid w:val="00CB5E34"/>
    <w:rsid w:val="00CB6861"/>
    <w:rsid w:val="00CC00E7"/>
    <w:rsid w:val="00CC01C7"/>
    <w:rsid w:val="00CC1142"/>
    <w:rsid w:val="00CC1439"/>
    <w:rsid w:val="00CC1A10"/>
    <w:rsid w:val="00CC2F01"/>
    <w:rsid w:val="00CC3400"/>
    <w:rsid w:val="00CC499C"/>
    <w:rsid w:val="00CC4EB2"/>
    <w:rsid w:val="00CC7322"/>
    <w:rsid w:val="00CD0DC6"/>
    <w:rsid w:val="00CD2853"/>
    <w:rsid w:val="00CD509C"/>
    <w:rsid w:val="00CD5F09"/>
    <w:rsid w:val="00CD6567"/>
    <w:rsid w:val="00CD68D1"/>
    <w:rsid w:val="00CE0D00"/>
    <w:rsid w:val="00CE3A26"/>
    <w:rsid w:val="00CE6AEE"/>
    <w:rsid w:val="00CE79E4"/>
    <w:rsid w:val="00CF1BBB"/>
    <w:rsid w:val="00CF20A3"/>
    <w:rsid w:val="00CF341E"/>
    <w:rsid w:val="00CF4C80"/>
    <w:rsid w:val="00CF4EB5"/>
    <w:rsid w:val="00CF52A4"/>
    <w:rsid w:val="00CF607A"/>
    <w:rsid w:val="00CF70DD"/>
    <w:rsid w:val="00D02B02"/>
    <w:rsid w:val="00D04AED"/>
    <w:rsid w:val="00D05CFA"/>
    <w:rsid w:val="00D0691C"/>
    <w:rsid w:val="00D0748E"/>
    <w:rsid w:val="00D103C4"/>
    <w:rsid w:val="00D10989"/>
    <w:rsid w:val="00D1221F"/>
    <w:rsid w:val="00D12AAA"/>
    <w:rsid w:val="00D1381F"/>
    <w:rsid w:val="00D156BD"/>
    <w:rsid w:val="00D17A79"/>
    <w:rsid w:val="00D22193"/>
    <w:rsid w:val="00D221DD"/>
    <w:rsid w:val="00D2272C"/>
    <w:rsid w:val="00D24AF9"/>
    <w:rsid w:val="00D267EC"/>
    <w:rsid w:val="00D27908"/>
    <w:rsid w:val="00D27AA8"/>
    <w:rsid w:val="00D30229"/>
    <w:rsid w:val="00D30488"/>
    <w:rsid w:val="00D328B4"/>
    <w:rsid w:val="00D32EC1"/>
    <w:rsid w:val="00D34A38"/>
    <w:rsid w:val="00D34A97"/>
    <w:rsid w:val="00D35902"/>
    <w:rsid w:val="00D36FAA"/>
    <w:rsid w:val="00D37102"/>
    <w:rsid w:val="00D4021A"/>
    <w:rsid w:val="00D41613"/>
    <w:rsid w:val="00D421CD"/>
    <w:rsid w:val="00D422DF"/>
    <w:rsid w:val="00D42951"/>
    <w:rsid w:val="00D43B7F"/>
    <w:rsid w:val="00D44B52"/>
    <w:rsid w:val="00D4503D"/>
    <w:rsid w:val="00D47782"/>
    <w:rsid w:val="00D47AC6"/>
    <w:rsid w:val="00D51E80"/>
    <w:rsid w:val="00D52044"/>
    <w:rsid w:val="00D53474"/>
    <w:rsid w:val="00D539AA"/>
    <w:rsid w:val="00D573B8"/>
    <w:rsid w:val="00D57B5B"/>
    <w:rsid w:val="00D61A37"/>
    <w:rsid w:val="00D61B17"/>
    <w:rsid w:val="00D65A9E"/>
    <w:rsid w:val="00D65EF3"/>
    <w:rsid w:val="00D65FB7"/>
    <w:rsid w:val="00D67B96"/>
    <w:rsid w:val="00D67BB9"/>
    <w:rsid w:val="00D67CEB"/>
    <w:rsid w:val="00D72023"/>
    <w:rsid w:val="00D74586"/>
    <w:rsid w:val="00D75218"/>
    <w:rsid w:val="00D75984"/>
    <w:rsid w:val="00D75FA6"/>
    <w:rsid w:val="00D76392"/>
    <w:rsid w:val="00D76EC2"/>
    <w:rsid w:val="00D77B1C"/>
    <w:rsid w:val="00D80813"/>
    <w:rsid w:val="00D809B3"/>
    <w:rsid w:val="00D81084"/>
    <w:rsid w:val="00D81628"/>
    <w:rsid w:val="00D81E0C"/>
    <w:rsid w:val="00D85DFD"/>
    <w:rsid w:val="00D869F3"/>
    <w:rsid w:val="00D902F7"/>
    <w:rsid w:val="00D905C8"/>
    <w:rsid w:val="00D909C1"/>
    <w:rsid w:val="00D90BF4"/>
    <w:rsid w:val="00D910B5"/>
    <w:rsid w:val="00D91F16"/>
    <w:rsid w:val="00D922C1"/>
    <w:rsid w:val="00D930FD"/>
    <w:rsid w:val="00D94324"/>
    <w:rsid w:val="00D95718"/>
    <w:rsid w:val="00D96039"/>
    <w:rsid w:val="00D96678"/>
    <w:rsid w:val="00D96D9D"/>
    <w:rsid w:val="00DA0FE9"/>
    <w:rsid w:val="00DA251D"/>
    <w:rsid w:val="00DA3403"/>
    <w:rsid w:val="00DA344C"/>
    <w:rsid w:val="00DA444A"/>
    <w:rsid w:val="00DA69A0"/>
    <w:rsid w:val="00DA6BC7"/>
    <w:rsid w:val="00DB0663"/>
    <w:rsid w:val="00DB0EFD"/>
    <w:rsid w:val="00DB3405"/>
    <w:rsid w:val="00DB4A8B"/>
    <w:rsid w:val="00DB64E3"/>
    <w:rsid w:val="00DC16F8"/>
    <w:rsid w:val="00DC24C2"/>
    <w:rsid w:val="00DC409B"/>
    <w:rsid w:val="00DC4909"/>
    <w:rsid w:val="00DD02FF"/>
    <w:rsid w:val="00DD24C3"/>
    <w:rsid w:val="00DD414D"/>
    <w:rsid w:val="00DD52E6"/>
    <w:rsid w:val="00DD6809"/>
    <w:rsid w:val="00DD6855"/>
    <w:rsid w:val="00DD7448"/>
    <w:rsid w:val="00DE63F8"/>
    <w:rsid w:val="00DE665B"/>
    <w:rsid w:val="00DE6736"/>
    <w:rsid w:val="00DF0BA2"/>
    <w:rsid w:val="00DF12A6"/>
    <w:rsid w:val="00DF16A8"/>
    <w:rsid w:val="00DF22C7"/>
    <w:rsid w:val="00DF3C87"/>
    <w:rsid w:val="00DF65A8"/>
    <w:rsid w:val="00DF6D53"/>
    <w:rsid w:val="00E014CA"/>
    <w:rsid w:val="00E0185B"/>
    <w:rsid w:val="00E02ADA"/>
    <w:rsid w:val="00E02BFE"/>
    <w:rsid w:val="00E0629C"/>
    <w:rsid w:val="00E07086"/>
    <w:rsid w:val="00E10450"/>
    <w:rsid w:val="00E11071"/>
    <w:rsid w:val="00E128CD"/>
    <w:rsid w:val="00E12E5E"/>
    <w:rsid w:val="00E168BB"/>
    <w:rsid w:val="00E200B9"/>
    <w:rsid w:val="00E21D03"/>
    <w:rsid w:val="00E24BD3"/>
    <w:rsid w:val="00E2505B"/>
    <w:rsid w:val="00E25854"/>
    <w:rsid w:val="00E25D09"/>
    <w:rsid w:val="00E26C24"/>
    <w:rsid w:val="00E276A1"/>
    <w:rsid w:val="00E3027F"/>
    <w:rsid w:val="00E31510"/>
    <w:rsid w:val="00E33ACC"/>
    <w:rsid w:val="00E341EC"/>
    <w:rsid w:val="00E34F7E"/>
    <w:rsid w:val="00E41652"/>
    <w:rsid w:val="00E425DE"/>
    <w:rsid w:val="00E446B4"/>
    <w:rsid w:val="00E45432"/>
    <w:rsid w:val="00E50486"/>
    <w:rsid w:val="00E51AC8"/>
    <w:rsid w:val="00E53932"/>
    <w:rsid w:val="00E54C5D"/>
    <w:rsid w:val="00E55882"/>
    <w:rsid w:val="00E55CD8"/>
    <w:rsid w:val="00E562CF"/>
    <w:rsid w:val="00E56C62"/>
    <w:rsid w:val="00E56D42"/>
    <w:rsid w:val="00E57858"/>
    <w:rsid w:val="00E6005E"/>
    <w:rsid w:val="00E61579"/>
    <w:rsid w:val="00E62569"/>
    <w:rsid w:val="00E63994"/>
    <w:rsid w:val="00E677A9"/>
    <w:rsid w:val="00E677FA"/>
    <w:rsid w:val="00E7207D"/>
    <w:rsid w:val="00E72809"/>
    <w:rsid w:val="00E7335D"/>
    <w:rsid w:val="00E750C2"/>
    <w:rsid w:val="00E76E83"/>
    <w:rsid w:val="00E77C24"/>
    <w:rsid w:val="00E802B6"/>
    <w:rsid w:val="00E81172"/>
    <w:rsid w:val="00E83143"/>
    <w:rsid w:val="00E8548E"/>
    <w:rsid w:val="00E85C25"/>
    <w:rsid w:val="00E87829"/>
    <w:rsid w:val="00E878ED"/>
    <w:rsid w:val="00E87A59"/>
    <w:rsid w:val="00E87D9C"/>
    <w:rsid w:val="00E907CB"/>
    <w:rsid w:val="00E90B2F"/>
    <w:rsid w:val="00E916E1"/>
    <w:rsid w:val="00E91F8B"/>
    <w:rsid w:val="00E9251B"/>
    <w:rsid w:val="00E946CE"/>
    <w:rsid w:val="00E95DBA"/>
    <w:rsid w:val="00EA2623"/>
    <w:rsid w:val="00EA4EDC"/>
    <w:rsid w:val="00EA55A7"/>
    <w:rsid w:val="00EA65CA"/>
    <w:rsid w:val="00EA69D5"/>
    <w:rsid w:val="00EB21B2"/>
    <w:rsid w:val="00EB35CF"/>
    <w:rsid w:val="00EB617B"/>
    <w:rsid w:val="00EB6C46"/>
    <w:rsid w:val="00EB736D"/>
    <w:rsid w:val="00EC292C"/>
    <w:rsid w:val="00EC3459"/>
    <w:rsid w:val="00EC3470"/>
    <w:rsid w:val="00EC34C5"/>
    <w:rsid w:val="00EC4ABD"/>
    <w:rsid w:val="00EC5D14"/>
    <w:rsid w:val="00EC6EA0"/>
    <w:rsid w:val="00ED0057"/>
    <w:rsid w:val="00ED0DEE"/>
    <w:rsid w:val="00ED0EE6"/>
    <w:rsid w:val="00ED11B3"/>
    <w:rsid w:val="00ED1242"/>
    <w:rsid w:val="00ED1712"/>
    <w:rsid w:val="00ED29B7"/>
    <w:rsid w:val="00ED4052"/>
    <w:rsid w:val="00ED521D"/>
    <w:rsid w:val="00EE0247"/>
    <w:rsid w:val="00EE13A3"/>
    <w:rsid w:val="00EE1E22"/>
    <w:rsid w:val="00EE2BF7"/>
    <w:rsid w:val="00EE427E"/>
    <w:rsid w:val="00EE46DC"/>
    <w:rsid w:val="00EE4ACE"/>
    <w:rsid w:val="00EE5B89"/>
    <w:rsid w:val="00EE699A"/>
    <w:rsid w:val="00EE7A9F"/>
    <w:rsid w:val="00EF04BA"/>
    <w:rsid w:val="00EF58E5"/>
    <w:rsid w:val="00EF705D"/>
    <w:rsid w:val="00F01A86"/>
    <w:rsid w:val="00F0479C"/>
    <w:rsid w:val="00F04E09"/>
    <w:rsid w:val="00F05CFB"/>
    <w:rsid w:val="00F107F3"/>
    <w:rsid w:val="00F11F33"/>
    <w:rsid w:val="00F13DA5"/>
    <w:rsid w:val="00F22594"/>
    <w:rsid w:val="00F22DE6"/>
    <w:rsid w:val="00F23F1A"/>
    <w:rsid w:val="00F24B9B"/>
    <w:rsid w:val="00F25174"/>
    <w:rsid w:val="00F26AAC"/>
    <w:rsid w:val="00F26DB9"/>
    <w:rsid w:val="00F27349"/>
    <w:rsid w:val="00F321A3"/>
    <w:rsid w:val="00F326A3"/>
    <w:rsid w:val="00F416EF"/>
    <w:rsid w:val="00F42B3A"/>
    <w:rsid w:val="00F432C7"/>
    <w:rsid w:val="00F445B5"/>
    <w:rsid w:val="00F453BC"/>
    <w:rsid w:val="00F46B91"/>
    <w:rsid w:val="00F47A06"/>
    <w:rsid w:val="00F47CB2"/>
    <w:rsid w:val="00F51CD4"/>
    <w:rsid w:val="00F51E39"/>
    <w:rsid w:val="00F51E4E"/>
    <w:rsid w:val="00F52061"/>
    <w:rsid w:val="00F53D94"/>
    <w:rsid w:val="00F5420F"/>
    <w:rsid w:val="00F542EE"/>
    <w:rsid w:val="00F54923"/>
    <w:rsid w:val="00F56C3A"/>
    <w:rsid w:val="00F6067C"/>
    <w:rsid w:val="00F60FA6"/>
    <w:rsid w:val="00F613EF"/>
    <w:rsid w:val="00F61DC0"/>
    <w:rsid w:val="00F623C0"/>
    <w:rsid w:val="00F62B4B"/>
    <w:rsid w:val="00F6489B"/>
    <w:rsid w:val="00F65064"/>
    <w:rsid w:val="00F656BE"/>
    <w:rsid w:val="00F65AD8"/>
    <w:rsid w:val="00F65FDB"/>
    <w:rsid w:val="00F66C25"/>
    <w:rsid w:val="00F71B04"/>
    <w:rsid w:val="00F76B06"/>
    <w:rsid w:val="00F76BD7"/>
    <w:rsid w:val="00F76CF2"/>
    <w:rsid w:val="00F77627"/>
    <w:rsid w:val="00F77BF4"/>
    <w:rsid w:val="00F8096E"/>
    <w:rsid w:val="00F80E83"/>
    <w:rsid w:val="00F82EBC"/>
    <w:rsid w:val="00F83190"/>
    <w:rsid w:val="00F84684"/>
    <w:rsid w:val="00F851FC"/>
    <w:rsid w:val="00F85BFF"/>
    <w:rsid w:val="00F85CCD"/>
    <w:rsid w:val="00F8727A"/>
    <w:rsid w:val="00F87AA0"/>
    <w:rsid w:val="00F9036A"/>
    <w:rsid w:val="00F9217E"/>
    <w:rsid w:val="00F927E2"/>
    <w:rsid w:val="00F9519F"/>
    <w:rsid w:val="00FA0C68"/>
    <w:rsid w:val="00FA1617"/>
    <w:rsid w:val="00FA219F"/>
    <w:rsid w:val="00FA3053"/>
    <w:rsid w:val="00FA58B6"/>
    <w:rsid w:val="00FA5ABF"/>
    <w:rsid w:val="00FA7A5D"/>
    <w:rsid w:val="00FB03E8"/>
    <w:rsid w:val="00FB0ADF"/>
    <w:rsid w:val="00FB1A9D"/>
    <w:rsid w:val="00FB1DA7"/>
    <w:rsid w:val="00FB2EF4"/>
    <w:rsid w:val="00FB4440"/>
    <w:rsid w:val="00FB4715"/>
    <w:rsid w:val="00FB4BCC"/>
    <w:rsid w:val="00FB5975"/>
    <w:rsid w:val="00FB719C"/>
    <w:rsid w:val="00FB77A9"/>
    <w:rsid w:val="00FB77AD"/>
    <w:rsid w:val="00FC0470"/>
    <w:rsid w:val="00FC04DC"/>
    <w:rsid w:val="00FC0993"/>
    <w:rsid w:val="00FC0DBB"/>
    <w:rsid w:val="00FC2281"/>
    <w:rsid w:val="00FC2F22"/>
    <w:rsid w:val="00FC3D22"/>
    <w:rsid w:val="00FC536F"/>
    <w:rsid w:val="00FC6897"/>
    <w:rsid w:val="00FC7CB7"/>
    <w:rsid w:val="00FC7E9C"/>
    <w:rsid w:val="00FD0D0F"/>
    <w:rsid w:val="00FD0D53"/>
    <w:rsid w:val="00FD3DDF"/>
    <w:rsid w:val="00FD4206"/>
    <w:rsid w:val="00FD6C4F"/>
    <w:rsid w:val="00FD7B38"/>
    <w:rsid w:val="00FE024B"/>
    <w:rsid w:val="00FE069F"/>
    <w:rsid w:val="00FE34E9"/>
    <w:rsid w:val="00FE5AB4"/>
    <w:rsid w:val="00FE5F38"/>
    <w:rsid w:val="00FE7376"/>
    <w:rsid w:val="00FE7404"/>
    <w:rsid w:val="00FF0C05"/>
    <w:rsid w:val="00FF1803"/>
    <w:rsid w:val="00FF195B"/>
    <w:rsid w:val="00FF2AAA"/>
    <w:rsid w:val="00FF2E8C"/>
    <w:rsid w:val="00FF40FC"/>
    <w:rsid w:val="00FF6080"/>
    <w:rsid w:val="00FF71B7"/>
    <w:rsid w:val="00FF7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C8B8"/>
  <w15:docId w15:val="{536CED15-556E-4FE5-9BA5-14C04C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hr-HR" w:eastAsia="hr-H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Standard"/>
    <w:next w:val="Standard"/>
    <w:pPr>
      <w:keepNext/>
      <w:outlineLvl w:val="0"/>
    </w:pPr>
    <w:rPr>
      <w:rFonts w:ascii="Arial" w:hAnsi="Arial" w:cs="Arial"/>
      <w:b/>
      <w:bCs/>
    </w:rPr>
  </w:style>
  <w:style w:type="paragraph" w:styleId="Naslov2">
    <w:name w:val="heading 2"/>
    <w:basedOn w:val="Naslov"/>
    <w:next w:val="Textbody"/>
    <w:pPr>
      <w:outlineLvl w:val="1"/>
    </w:pPr>
    <w:rPr>
      <w:b/>
      <w:bCs/>
      <w:i/>
      <w:iCs/>
    </w:rPr>
  </w:style>
  <w:style w:type="paragraph" w:styleId="Naslov3">
    <w:name w:val="heading 3"/>
    <w:basedOn w:val="Naslov"/>
    <w:next w:val="Textbody"/>
    <w:pPr>
      <w:outlineLvl w:val="2"/>
    </w:pPr>
    <w:rPr>
      <w:b/>
      <w:bCs/>
    </w:rPr>
  </w:style>
  <w:style w:type="paragraph" w:styleId="Naslov4">
    <w:name w:val="heading 4"/>
    <w:basedOn w:val="Naslov"/>
    <w:next w:val="Textbody"/>
    <w:pPr>
      <w:outlineLvl w:val="3"/>
    </w:pPr>
    <w:rPr>
      <w:b/>
      <w:bCs/>
      <w:i/>
      <w:iCs/>
      <w:sz w:val="24"/>
      <w:szCs w:val="24"/>
    </w:rPr>
  </w:style>
  <w:style w:type="paragraph" w:styleId="Naslov5">
    <w:name w:val="heading 5"/>
    <w:basedOn w:val="Naslov"/>
    <w:next w:val="Textbody"/>
    <w:pPr>
      <w:outlineLvl w:val="4"/>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styleId="Naslov">
    <w:name w:val="Title"/>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jc w:val="both"/>
    </w:pPr>
    <w:rPr>
      <w:rFonts w:ascii="Arial" w:hAnsi="Arial" w:cs="Arial"/>
      <w:b/>
      <w:bCs/>
    </w:rPr>
  </w:style>
  <w:style w:type="paragraph" w:styleId="Podnaslov">
    <w:name w:val="Subtitle"/>
    <w:basedOn w:val="Naslov"/>
    <w:next w:val="Textbody"/>
    <w:pPr>
      <w:jc w:val="center"/>
    </w:pPr>
    <w:rPr>
      <w:i/>
      <w:iCs/>
    </w:rPr>
  </w:style>
  <w:style w:type="paragraph" w:styleId="Popis">
    <w:name w:val="List"/>
    <w:basedOn w:val="Textbody"/>
    <w:rPr>
      <w:rFonts w:cs="Tahoma"/>
    </w:rPr>
  </w:style>
  <w:style w:type="paragraph" w:styleId="Opisslik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paragraph" w:styleId="Odlomakpopisa">
    <w:name w:val="List Paragraph"/>
    <w:basedOn w:val="Normal"/>
    <w:qFormat/>
    <w:pPr>
      <w:ind w:left="720"/>
    </w:pPr>
  </w:style>
  <w:style w:type="numbering" w:customStyle="1" w:styleId="WW8Num1">
    <w:name w:val="WW8Num1"/>
    <w:basedOn w:val="Bezpopisa"/>
    <w:pPr>
      <w:numPr>
        <w:numId w:val="1"/>
      </w:numPr>
    </w:pPr>
  </w:style>
  <w:style w:type="numbering" w:customStyle="1" w:styleId="WW8Num2">
    <w:name w:val="WW8Num2"/>
    <w:basedOn w:val="Bezpopisa"/>
    <w:pPr>
      <w:numPr>
        <w:numId w:val="2"/>
      </w:numPr>
    </w:pPr>
  </w:style>
  <w:style w:type="table" w:styleId="Reetkatablice">
    <w:name w:val="Table Grid"/>
    <w:basedOn w:val="Obinatablica"/>
    <w:uiPriority w:val="39"/>
    <w:rsid w:val="00A7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34F7E"/>
    <w:pPr>
      <w:tabs>
        <w:tab w:val="center" w:pos="4536"/>
        <w:tab w:val="right" w:pos="9072"/>
      </w:tabs>
    </w:pPr>
  </w:style>
  <w:style w:type="character" w:customStyle="1" w:styleId="ZaglavljeChar">
    <w:name w:val="Zaglavlje Char"/>
    <w:basedOn w:val="Zadanifontodlomka"/>
    <w:link w:val="Zaglavlje"/>
    <w:uiPriority w:val="99"/>
    <w:rsid w:val="00E34F7E"/>
  </w:style>
  <w:style w:type="paragraph" w:styleId="Podnoje">
    <w:name w:val="footer"/>
    <w:basedOn w:val="Normal"/>
    <w:link w:val="PodnojeChar"/>
    <w:uiPriority w:val="99"/>
    <w:unhideWhenUsed/>
    <w:rsid w:val="00E34F7E"/>
    <w:pPr>
      <w:tabs>
        <w:tab w:val="center" w:pos="4536"/>
        <w:tab w:val="right" w:pos="9072"/>
      </w:tabs>
    </w:pPr>
  </w:style>
  <w:style w:type="character" w:customStyle="1" w:styleId="PodnojeChar">
    <w:name w:val="Podnožje Char"/>
    <w:basedOn w:val="Zadanifontodlomka"/>
    <w:link w:val="Podnoje"/>
    <w:uiPriority w:val="99"/>
    <w:rsid w:val="00E3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11">
      <w:bodyDiv w:val="1"/>
      <w:marLeft w:val="0"/>
      <w:marRight w:val="0"/>
      <w:marTop w:val="0"/>
      <w:marBottom w:val="0"/>
      <w:divBdr>
        <w:top w:val="none" w:sz="0" w:space="0" w:color="auto"/>
        <w:left w:val="none" w:sz="0" w:space="0" w:color="auto"/>
        <w:bottom w:val="none" w:sz="0" w:space="0" w:color="auto"/>
        <w:right w:val="none" w:sz="0" w:space="0" w:color="auto"/>
      </w:divBdr>
    </w:div>
    <w:div w:id="68816347">
      <w:bodyDiv w:val="1"/>
      <w:marLeft w:val="0"/>
      <w:marRight w:val="0"/>
      <w:marTop w:val="0"/>
      <w:marBottom w:val="0"/>
      <w:divBdr>
        <w:top w:val="none" w:sz="0" w:space="0" w:color="auto"/>
        <w:left w:val="none" w:sz="0" w:space="0" w:color="auto"/>
        <w:bottom w:val="none" w:sz="0" w:space="0" w:color="auto"/>
        <w:right w:val="none" w:sz="0" w:space="0" w:color="auto"/>
      </w:divBdr>
    </w:div>
    <w:div w:id="182599722">
      <w:bodyDiv w:val="1"/>
      <w:marLeft w:val="0"/>
      <w:marRight w:val="0"/>
      <w:marTop w:val="0"/>
      <w:marBottom w:val="0"/>
      <w:divBdr>
        <w:top w:val="none" w:sz="0" w:space="0" w:color="auto"/>
        <w:left w:val="none" w:sz="0" w:space="0" w:color="auto"/>
        <w:bottom w:val="none" w:sz="0" w:space="0" w:color="auto"/>
        <w:right w:val="none" w:sz="0" w:space="0" w:color="auto"/>
      </w:divBdr>
    </w:div>
    <w:div w:id="187304928">
      <w:bodyDiv w:val="1"/>
      <w:marLeft w:val="0"/>
      <w:marRight w:val="0"/>
      <w:marTop w:val="0"/>
      <w:marBottom w:val="0"/>
      <w:divBdr>
        <w:top w:val="none" w:sz="0" w:space="0" w:color="auto"/>
        <w:left w:val="none" w:sz="0" w:space="0" w:color="auto"/>
        <w:bottom w:val="none" w:sz="0" w:space="0" w:color="auto"/>
        <w:right w:val="none" w:sz="0" w:space="0" w:color="auto"/>
      </w:divBdr>
    </w:div>
    <w:div w:id="374083281">
      <w:bodyDiv w:val="1"/>
      <w:marLeft w:val="0"/>
      <w:marRight w:val="0"/>
      <w:marTop w:val="0"/>
      <w:marBottom w:val="0"/>
      <w:divBdr>
        <w:top w:val="none" w:sz="0" w:space="0" w:color="auto"/>
        <w:left w:val="none" w:sz="0" w:space="0" w:color="auto"/>
        <w:bottom w:val="none" w:sz="0" w:space="0" w:color="auto"/>
        <w:right w:val="none" w:sz="0" w:space="0" w:color="auto"/>
      </w:divBdr>
    </w:div>
    <w:div w:id="451901574">
      <w:bodyDiv w:val="1"/>
      <w:marLeft w:val="0"/>
      <w:marRight w:val="0"/>
      <w:marTop w:val="0"/>
      <w:marBottom w:val="0"/>
      <w:divBdr>
        <w:top w:val="none" w:sz="0" w:space="0" w:color="auto"/>
        <w:left w:val="none" w:sz="0" w:space="0" w:color="auto"/>
        <w:bottom w:val="none" w:sz="0" w:space="0" w:color="auto"/>
        <w:right w:val="none" w:sz="0" w:space="0" w:color="auto"/>
      </w:divBdr>
    </w:div>
    <w:div w:id="499584806">
      <w:bodyDiv w:val="1"/>
      <w:marLeft w:val="0"/>
      <w:marRight w:val="0"/>
      <w:marTop w:val="0"/>
      <w:marBottom w:val="0"/>
      <w:divBdr>
        <w:top w:val="none" w:sz="0" w:space="0" w:color="auto"/>
        <w:left w:val="none" w:sz="0" w:space="0" w:color="auto"/>
        <w:bottom w:val="none" w:sz="0" w:space="0" w:color="auto"/>
        <w:right w:val="none" w:sz="0" w:space="0" w:color="auto"/>
      </w:divBdr>
    </w:div>
    <w:div w:id="925068625">
      <w:bodyDiv w:val="1"/>
      <w:marLeft w:val="0"/>
      <w:marRight w:val="0"/>
      <w:marTop w:val="0"/>
      <w:marBottom w:val="0"/>
      <w:divBdr>
        <w:top w:val="none" w:sz="0" w:space="0" w:color="auto"/>
        <w:left w:val="none" w:sz="0" w:space="0" w:color="auto"/>
        <w:bottom w:val="none" w:sz="0" w:space="0" w:color="auto"/>
        <w:right w:val="none" w:sz="0" w:space="0" w:color="auto"/>
      </w:divBdr>
    </w:div>
    <w:div w:id="993994820">
      <w:bodyDiv w:val="1"/>
      <w:marLeft w:val="0"/>
      <w:marRight w:val="0"/>
      <w:marTop w:val="0"/>
      <w:marBottom w:val="0"/>
      <w:divBdr>
        <w:top w:val="none" w:sz="0" w:space="0" w:color="auto"/>
        <w:left w:val="none" w:sz="0" w:space="0" w:color="auto"/>
        <w:bottom w:val="none" w:sz="0" w:space="0" w:color="auto"/>
        <w:right w:val="none" w:sz="0" w:space="0" w:color="auto"/>
      </w:divBdr>
    </w:div>
    <w:div w:id="1044869909">
      <w:bodyDiv w:val="1"/>
      <w:marLeft w:val="0"/>
      <w:marRight w:val="0"/>
      <w:marTop w:val="0"/>
      <w:marBottom w:val="0"/>
      <w:divBdr>
        <w:top w:val="none" w:sz="0" w:space="0" w:color="auto"/>
        <w:left w:val="none" w:sz="0" w:space="0" w:color="auto"/>
        <w:bottom w:val="none" w:sz="0" w:space="0" w:color="auto"/>
        <w:right w:val="none" w:sz="0" w:space="0" w:color="auto"/>
      </w:divBdr>
    </w:div>
    <w:div w:id="1049382176">
      <w:bodyDiv w:val="1"/>
      <w:marLeft w:val="0"/>
      <w:marRight w:val="0"/>
      <w:marTop w:val="0"/>
      <w:marBottom w:val="0"/>
      <w:divBdr>
        <w:top w:val="none" w:sz="0" w:space="0" w:color="auto"/>
        <w:left w:val="none" w:sz="0" w:space="0" w:color="auto"/>
        <w:bottom w:val="none" w:sz="0" w:space="0" w:color="auto"/>
        <w:right w:val="none" w:sz="0" w:space="0" w:color="auto"/>
      </w:divBdr>
    </w:div>
    <w:div w:id="1114445940">
      <w:bodyDiv w:val="1"/>
      <w:marLeft w:val="0"/>
      <w:marRight w:val="0"/>
      <w:marTop w:val="0"/>
      <w:marBottom w:val="0"/>
      <w:divBdr>
        <w:top w:val="none" w:sz="0" w:space="0" w:color="auto"/>
        <w:left w:val="none" w:sz="0" w:space="0" w:color="auto"/>
        <w:bottom w:val="none" w:sz="0" w:space="0" w:color="auto"/>
        <w:right w:val="none" w:sz="0" w:space="0" w:color="auto"/>
      </w:divBdr>
    </w:div>
    <w:div w:id="1458529109">
      <w:bodyDiv w:val="1"/>
      <w:marLeft w:val="0"/>
      <w:marRight w:val="0"/>
      <w:marTop w:val="0"/>
      <w:marBottom w:val="0"/>
      <w:divBdr>
        <w:top w:val="none" w:sz="0" w:space="0" w:color="auto"/>
        <w:left w:val="none" w:sz="0" w:space="0" w:color="auto"/>
        <w:bottom w:val="none" w:sz="0" w:space="0" w:color="auto"/>
        <w:right w:val="none" w:sz="0" w:space="0" w:color="auto"/>
      </w:divBdr>
    </w:div>
    <w:div w:id="1505241256">
      <w:bodyDiv w:val="1"/>
      <w:marLeft w:val="0"/>
      <w:marRight w:val="0"/>
      <w:marTop w:val="0"/>
      <w:marBottom w:val="0"/>
      <w:divBdr>
        <w:top w:val="none" w:sz="0" w:space="0" w:color="auto"/>
        <w:left w:val="none" w:sz="0" w:space="0" w:color="auto"/>
        <w:bottom w:val="none" w:sz="0" w:space="0" w:color="auto"/>
        <w:right w:val="none" w:sz="0" w:space="0" w:color="auto"/>
      </w:divBdr>
    </w:div>
    <w:div w:id="1520050756">
      <w:bodyDiv w:val="1"/>
      <w:marLeft w:val="0"/>
      <w:marRight w:val="0"/>
      <w:marTop w:val="0"/>
      <w:marBottom w:val="0"/>
      <w:divBdr>
        <w:top w:val="none" w:sz="0" w:space="0" w:color="auto"/>
        <w:left w:val="none" w:sz="0" w:space="0" w:color="auto"/>
        <w:bottom w:val="none" w:sz="0" w:space="0" w:color="auto"/>
        <w:right w:val="none" w:sz="0" w:space="0" w:color="auto"/>
      </w:divBdr>
    </w:div>
    <w:div w:id="1538547050">
      <w:bodyDiv w:val="1"/>
      <w:marLeft w:val="0"/>
      <w:marRight w:val="0"/>
      <w:marTop w:val="0"/>
      <w:marBottom w:val="0"/>
      <w:divBdr>
        <w:top w:val="none" w:sz="0" w:space="0" w:color="auto"/>
        <w:left w:val="none" w:sz="0" w:space="0" w:color="auto"/>
        <w:bottom w:val="none" w:sz="0" w:space="0" w:color="auto"/>
        <w:right w:val="none" w:sz="0" w:space="0" w:color="auto"/>
      </w:divBdr>
    </w:div>
    <w:div w:id="1814129078">
      <w:bodyDiv w:val="1"/>
      <w:marLeft w:val="0"/>
      <w:marRight w:val="0"/>
      <w:marTop w:val="0"/>
      <w:marBottom w:val="0"/>
      <w:divBdr>
        <w:top w:val="none" w:sz="0" w:space="0" w:color="auto"/>
        <w:left w:val="none" w:sz="0" w:space="0" w:color="auto"/>
        <w:bottom w:val="none" w:sz="0" w:space="0" w:color="auto"/>
        <w:right w:val="none" w:sz="0" w:space="0" w:color="auto"/>
      </w:divBdr>
    </w:div>
    <w:div w:id="1829442369">
      <w:bodyDiv w:val="1"/>
      <w:marLeft w:val="0"/>
      <w:marRight w:val="0"/>
      <w:marTop w:val="0"/>
      <w:marBottom w:val="0"/>
      <w:divBdr>
        <w:top w:val="none" w:sz="0" w:space="0" w:color="auto"/>
        <w:left w:val="none" w:sz="0" w:space="0" w:color="auto"/>
        <w:bottom w:val="none" w:sz="0" w:space="0" w:color="auto"/>
        <w:right w:val="none" w:sz="0" w:space="0" w:color="auto"/>
      </w:divBdr>
    </w:div>
    <w:div w:id="1863863207">
      <w:bodyDiv w:val="1"/>
      <w:marLeft w:val="0"/>
      <w:marRight w:val="0"/>
      <w:marTop w:val="0"/>
      <w:marBottom w:val="0"/>
      <w:divBdr>
        <w:top w:val="none" w:sz="0" w:space="0" w:color="auto"/>
        <w:left w:val="none" w:sz="0" w:space="0" w:color="auto"/>
        <w:bottom w:val="none" w:sz="0" w:space="0" w:color="auto"/>
        <w:right w:val="none" w:sz="0" w:space="0" w:color="auto"/>
      </w:divBdr>
    </w:div>
    <w:div w:id="207535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3166-A82D-43B0-956F-CFFB4C9F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14</Pages>
  <Words>4631</Words>
  <Characters>26403</Characters>
  <Application>Microsoft Office Word</Application>
  <DocSecurity>0</DocSecurity>
  <Lines>220</Lines>
  <Paragraphs>61</Paragraphs>
  <ScaleCrop>false</ScaleCrop>
  <HeadingPairs>
    <vt:vector size="2" baseType="variant">
      <vt:variant>
        <vt:lpstr>Naslov</vt:lpstr>
      </vt:variant>
      <vt:variant>
        <vt:i4>1</vt:i4>
      </vt:variant>
    </vt:vector>
  </HeadingPairs>
  <TitlesOfParts>
    <vt:vector size="1" baseType="lpstr">
      <vt:lpstr>BILJEŠKE UZ FINANCIJSKI IZVJEŠTAJ</vt:lpstr>
    </vt:vector>
  </TitlesOfParts>
  <Company>Hewlett-Packard Company</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dc:title>
  <dc:creator>Tajnica</dc:creator>
  <cp:lastModifiedBy>Općina Veliki Bukovec</cp:lastModifiedBy>
  <cp:revision>277</cp:revision>
  <cp:lastPrinted>2022-02-22T11:55:00Z</cp:lastPrinted>
  <dcterms:created xsi:type="dcterms:W3CDTF">2022-01-19T11:18:00Z</dcterms:created>
  <dcterms:modified xsi:type="dcterms:W3CDTF">2022-02-22T12:00:00Z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