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REPUBLIKA HRVATSKA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OPĆINA VELIKI BUKOVEC</w:t>
      </w:r>
    </w:p>
    <w:p w:rsidR="000F76EA" w:rsidRPr="00901AC6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901AC6">
        <w:rPr>
          <w:color w:val="000000"/>
          <w:lang w:val="de-DE"/>
        </w:rPr>
        <w:t>KLASA: 400-0</w:t>
      </w:r>
      <w:r w:rsidR="00B523F6">
        <w:rPr>
          <w:color w:val="000000"/>
          <w:lang w:val="de-DE"/>
        </w:rPr>
        <w:t>8</w:t>
      </w:r>
      <w:r w:rsidRPr="00901AC6">
        <w:rPr>
          <w:color w:val="000000"/>
          <w:lang w:val="de-DE"/>
        </w:rPr>
        <w:t>/</w:t>
      </w:r>
      <w:r w:rsidR="00426E85">
        <w:rPr>
          <w:color w:val="000000"/>
          <w:lang w:val="de-DE"/>
        </w:rPr>
        <w:t>20</w:t>
      </w:r>
      <w:r w:rsidRPr="00901AC6">
        <w:rPr>
          <w:color w:val="000000"/>
          <w:lang w:val="de-DE"/>
        </w:rPr>
        <w:t>-01/01</w:t>
      </w:r>
    </w:p>
    <w:p w:rsidR="000F76EA" w:rsidRPr="00901AC6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901AC6">
        <w:rPr>
          <w:color w:val="000000"/>
          <w:lang w:val="de-DE"/>
        </w:rPr>
        <w:t>URBROJ: 2186/028-03-</w:t>
      </w:r>
      <w:r w:rsidR="00D67CEB">
        <w:rPr>
          <w:color w:val="000000"/>
          <w:lang w:val="de-DE"/>
        </w:rPr>
        <w:t>20</w:t>
      </w:r>
      <w:r w:rsidRPr="00901AC6">
        <w:rPr>
          <w:color w:val="000000"/>
          <w:lang w:val="de-DE"/>
        </w:rPr>
        <w:t>-</w:t>
      </w:r>
      <w:r w:rsidR="007D7ACC">
        <w:rPr>
          <w:color w:val="000000"/>
          <w:lang w:val="de-DE"/>
        </w:rPr>
        <w:t>2</w:t>
      </w:r>
    </w:p>
    <w:p w:rsidR="00606EB2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:rsidR="00606EB2" w:rsidRDefault="001436E7">
      <w:pPr>
        <w:pStyle w:val="Standard"/>
        <w:rPr>
          <w:rFonts w:cs="Tahoma"/>
          <w:sz w:val="26"/>
          <w:szCs w:val="26"/>
          <w:lang w:val="de-DE"/>
        </w:rPr>
      </w:pPr>
      <w:r>
        <w:rPr>
          <w:rFonts w:cs="Tahoma"/>
          <w:sz w:val="26"/>
          <w:szCs w:val="26"/>
          <w:lang w:val="de-DE"/>
        </w:rPr>
        <w:t>MB: 02676583</w:t>
      </w:r>
    </w:p>
    <w:p w:rsidR="00606EB2" w:rsidRDefault="001436E7">
      <w:pPr>
        <w:pStyle w:val="Standard"/>
        <w:rPr>
          <w:rFonts w:cs="Tahoma"/>
          <w:sz w:val="26"/>
          <w:szCs w:val="26"/>
          <w:lang w:val="de-DE"/>
        </w:rPr>
      </w:pPr>
      <w:r>
        <w:rPr>
          <w:rFonts w:cs="Tahoma"/>
          <w:sz w:val="26"/>
          <w:szCs w:val="26"/>
          <w:lang w:val="de-DE"/>
        </w:rPr>
        <w:t>OIB: 09571757651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>
        <w:rPr>
          <w:rFonts w:cs="Tahoma"/>
          <w:color w:val="000000"/>
          <w:sz w:val="26"/>
          <w:szCs w:val="26"/>
          <w:lang w:val="de-DE"/>
        </w:rPr>
        <w:t>: 31317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Šifra</w:t>
      </w:r>
      <w:proofErr w:type="spellEnd"/>
      <w:r>
        <w:rPr>
          <w:rFonts w:cs="Tahoma"/>
          <w:sz w:val="26"/>
          <w:szCs w:val="26"/>
          <w:lang w:val="en-US"/>
        </w:rPr>
        <w:t xml:space="preserve"> </w:t>
      </w:r>
      <w:proofErr w:type="spellStart"/>
      <w:r>
        <w:rPr>
          <w:rFonts w:cs="Tahoma"/>
          <w:sz w:val="26"/>
          <w:szCs w:val="26"/>
          <w:lang w:val="en-US"/>
        </w:rPr>
        <w:t>općine</w:t>
      </w:r>
      <w:proofErr w:type="spellEnd"/>
      <w:r>
        <w:rPr>
          <w:rFonts w:cs="Tahoma"/>
          <w:sz w:val="26"/>
          <w:szCs w:val="26"/>
          <w:lang w:val="en-US"/>
        </w:rPr>
        <w:t>: 558</w:t>
      </w:r>
    </w:p>
    <w:p w:rsidR="00606EB2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Razina</w:t>
      </w:r>
      <w:proofErr w:type="spellEnd"/>
      <w:r>
        <w:rPr>
          <w:rFonts w:cs="Tahoma"/>
          <w:sz w:val="26"/>
          <w:szCs w:val="26"/>
          <w:lang w:val="en-US"/>
        </w:rPr>
        <w:t>: 22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Razdjel</w:t>
      </w:r>
      <w:proofErr w:type="spellEnd"/>
      <w:r>
        <w:rPr>
          <w:rFonts w:cs="Tahoma"/>
          <w:sz w:val="26"/>
          <w:szCs w:val="26"/>
          <w:lang w:val="en-US"/>
        </w:rPr>
        <w:t>:</w:t>
      </w:r>
      <w:r w:rsidR="00901AC6">
        <w:rPr>
          <w:rFonts w:cs="Tahoma"/>
          <w:sz w:val="26"/>
          <w:szCs w:val="26"/>
          <w:lang w:val="en-US"/>
        </w:rPr>
        <w:t xml:space="preserve"> </w:t>
      </w:r>
      <w:r>
        <w:rPr>
          <w:rFonts w:cs="Tahoma"/>
          <w:sz w:val="26"/>
          <w:szCs w:val="26"/>
          <w:lang w:val="en-US"/>
        </w:rPr>
        <w:t>000</w:t>
      </w:r>
    </w:p>
    <w:p w:rsidR="00606EB2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Šifra</w:t>
      </w:r>
      <w:proofErr w:type="spellEnd"/>
      <w:r>
        <w:rPr>
          <w:rFonts w:cs="Tahoma"/>
          <w:sz w:val="26"/>
          <w:szCs w:val="26"/>
          <w:lang w:val="en-US"/>
        </w:rPr>
        <w:t xml:space="preserve"> </w:t>
      </w:r>
      <w:proofErr w:type="spellStart"/>
      <w:r>
        <w:rPr>
          <w:rFonts w:cs="Tahoma"/>
          <w:sz w:val="26"/>
          <w:szCs w:val="26"/>
          <w:lang w:val="en-US"/>
        </w:rPr>
        <w:t>djelatnosti</w:t>
      </w:r>
      <w:proofErr w:type="spellEnd"/>
      <w:r>
        <w:rPr>
          <w:rFonts w:cs="Tahoma"/>
          <w:sz w:val="26"/>
          <w:szCs w:val="26"/>
          <w:lang w:val="en-US"/>
        </w:rPr>
        <w:t>:</w:t>
      </w:r>
      <w:r w:rsidR="001436E7">
        <w:rPr>
          <w:rFonts w:cs="Tahoma"/>
          <w:sz w:val="26"/>
          <w:szCs w:val="26"/>
          <w:lang w:val="en-US"/>
        </w:rPr>
        <w:t xml:space="preserve"> 8411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Žiro</w:t>
      </w:r>
      <w:proofErr w:type="spellEnd"/>
      <w:r>
        <w:rPr>
          <w:rFonts w:cs="Tahoma"/>
          <w:sz w:val="26"/>
          <w:szCs w:val="26"/>
          <w:lang w:val="en-US"/>
        </w:rPr>
        <w:t xml:space="preserve"> – </w:t>
      </w:r>
      <w:proofErr w:type="spellStart"/>
      <w:r>
        <w:rPr>
          <w:rFonts w:cs="Tahoma"/>
          <w:sz w:val="26"/>
          <w:szCs w:val="26"/>
          <w:lang w:val="en-US"/>
        </w:rPr>
        <w:t>račun</w:t>
      </w:r>
      <w:proofErr w:type="spellEnd"/>
      <w:r>
        <w:rPr>
          <w:rFonts w:cs="Tahoma"/>
          <w:sz w:val="26"/>
          <w:szCs w:val="26"/>
          <w:lang w:val="en-US"/>
        </w:rPr>
        <w:t>: HR3723900011855800004</w:t>
      </w:r>
    </w:p>
    <w:p w:rsidR="00606EB2" w:rsidRPr="00614300" w:rsidRDefault="00606EB2">
      <w:pPr>
        <w:pStyle w:val="Standard"/>
        <w:jc w:val="center"/>
        <w:rPr>
          <w:rFonts w:cs="Arial"/>
          <w:sz w:val="26"/>
          <w:szCs w:val="26"/>
        </w:rPr>
      </w:pPr>
    </w:p>
    <w:p w:rsidR="00606EB2" w:rsidRPr="00703107" w:rsidRDefault="001436E7">
      <w:pPr>
        <w:jc w:val="center"/>
      </w:pPr>
      <w:r w:rsidRPr="00703107">
        <w:t xml:space="preserve">BILJEŠKE UZ FINANCIJSKI IZVJEŠTAJ – OBRAZAC PR- RAS </w:t>
      </w:r>
    </w:p>
    <w:p w:rsidR="00606EB2" w:rsidRPr="00703107" w:rsidRDefault="001436E7">
      <w:pPr>
        <w:jc w:val="center"/>
      </w:pPr>
      <w:r w:rsidRPr="00703107">
        <w:t>za razdoblje od 01.01.20</w:t>
      </w:r>
      <w:r w:rsidR="00426E85" w:rsidRPr="00703107">
        <w:t>20</w:t>
      </w:r>
      <w:r w:rsidRPr="00703107">
        <w:t>.  do 3</w:t>
      </w:r>
      <w:r w:rsidR="00D0748E" w:rsidRPr="00703107">
        <w:t>1</w:t>
      </w:r>
      <w:r w:rsidR="00E0629C" w:rsidRPr="00703107">
        <w:t>.</w:t>
      </w:r>
      <w:r w:rsidR="00426E85" w:rsidRPr="00703107">
        <w:t>03</w:t>
      </w:r>
      <w:r w:rsidRPr="00703107">
        <w:t>.20</w:t>
      </w:r>
      <w:r w:rsidR="00426E85" w:rsidRPr="00703107">
        <w:t>20</w:t>
      </w:r>
      <w:r w:rsidRPr="00703107">
        <w:t>. godine</w:t>
      </w:r>
    </w:p>
    <w:p w:rsidR="00606EB2" w:rsidRPr="00703107" w:rsidRDefault="00606EB2">
      <w:pPr>
        <w:jc w:val="center"/>
      </w:pPr>
    </w:p>
    <w:p w:rsidR="00606EB2" w:rsidRPr="00703107" w:rsidRDefault="00606EB2">
      <w:pPr>
        <w:pStyle w:val="Naslov1"/>
        <w:tabs>
          <w:tab w:val="left" w:pos="0"/>
        </w:tabs>
        <w:jc w:val="center"/>
        <w:rPr>
          <w:b w:val="0"/>
          <w:bCs w:val="0"/>
          <w:color w:val="000000"/>
        </w:rPr>
      </w:pPr>
    </w:p>
    <w:p w:rsidR="00606EB2" w:rsidRPr="00703107" w:rsidRDefault="00A17360">
      <w:pPr>
        <w:pStyle w:val="Standard"/>
        <w:rPr>
          <w:b/>
          <w:color w:val="000000"/>
        </w:rPr>
      </w:pPr>
      <w:r w:rsidRPr="00703107">
        <w:rPr>
          <w:b/>
          <w:color w:val="000000"/>
        </w:rPr>
        <w:t xml:space="preserve">Bilješke - </w:t>
      </w:r>
      <w:r w:rsidR="001436E7" w:rsidRPr="00703107">
        <w:rPr>
          <w:b/>
          <w:color w:val="000000"/>
        </w:rPr>
        <w:t>OBRAZAC PR-RAS</w:t>
      </w:r>
    </w:p>
    <w:p w:rsidR="00606EB2" w:rsidRPr="00703107" w:rsidRDefault="00606EB2">
      <w:pPr>
        <w:pStyle w:val="Standard"/>
        <w:rPr>
          <w:color w:val="000000"/>
        </w:rPr>
      </w:pPr>
    </w:p>
    <w:p w:rsidR="00606EB2" w:rsidRPr="00703107" w:rsidRDefault="001436E7">
      <w:pPr>
        <w:pStyle w:val="Odlomakpopisa"/>
        <w:numPr>
          <w:ilvl w:val="0"/>
          <w:numId w:val="3"/>
        </w:numPr>
        <w:rPr>
          <w:b/>
        </w:rPr>
      </w:pPr>
      <w:r w:rsidRPr="00703107">
        <w:rPr>
          <w:b/>
        </w:rPr>
        <w:t>PRIHODI POSLOVANJA</w:t>
      </w:r>
    </w:p>
    <w:p w:rsidR="00606EB2" w:rsidRPr="00703107" w:rsidRDefault="00606EB2"/>
    <w:p w:rsidR="00606EB2" w:rsidRPr="00703107" w:rsidRDefault="00606EB2">
      <w:pPr>
        <w:pStyle w:val="Standard"/>
        <w:jc w:val="both"/>
        <w:rPr>
          <w:rFonts w:ascii="Arial" w:hAnsi="Arial" w:cs="Arial"/>
        </w:rPr>
      </w:pPr>
    </w:p>
    <w:p w:rsidR="00606EB2" w:rsidRDefault="001436E7">
      <w:pPr>
        <w:pStyle w:val="Standard"/>
        <w:jc w:val="both"/>
      </w:pPr>
      <w:r w:rsidRPr="00703107">
        <w:t xml:space="preserve">Iz izvještaja je vidljivo kako su prihodi poslovanja AOP 001 ostvareni </w:t>
      </w:r>
      <w:r w:rsidR="00AF6BF4" w:rsidRPr="00703107">
        <w:t>128,9</w:t>
      </w:r>
      <w:r w:rsidRPr="00703107">
        <w:t xml:space="preserve"> % u odnosu na ostvarenje prethodne godine. Unutar pojedinih pozicija ima većih i manjih odstupanja u odnosu na izvještajno razdoblje prethodne godine.</w:t>
      </w:r>
    </w:p>
    <w:p w:rsidR="00606EB2" w:rsidRDefault="00606EB2">
      <w:pPr>
        <w:pStyle w:val="Standard"/>
        <w:jc w:val="both"/>
      </w:pPr>
    </w:p>
    <w:p w:rsidR="00606EB2" w:rsidRDefault="00606EB2">
      <w:pPr>
        <w:pStyle w:val="Standard"/>
        <w:jc w:val="both"/>
      </w:pPr>
    </w:p>
    <w:p w:rsidR="00606EB2" w:rsidRPr="003E6057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3E6057">
        <w:rPr>
          <w:rFonts w:cs="Arial"/>
          <w:b/>
          <w:bCs/>
          <w:sz w:val="26"/>
          <w:szCs w:val="26"/>
        </w:rPr>
        <w:t>AOP 002 Prihodi od poreza</w:t>
      </w:r>
    </w:p>
    <w:p w:rsidR="00606EB2" w:rsidRPr="003E6057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F5634" w:rsidP="0048761E">
            <w:pPr>
              <w:pStyle w:val="TableContents"/>
              <w:jc w:val="center"/>
            </w:pPr>
            <w:r>
              <w:t>651.384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F5634" w:rsidP="0048761E">
            <w:pPr>
              <w:pStyle w:val="TableContents"/>
              <w:jc w:val="center"/>
            </w:pPr>
            <w:r>
              <w:t>685.283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48761E" w:rsidP="00EC3470">
            <w:pPr>
              <w:pStyle w:val="TableContents"/>
              <w:jc w:val="center"/>
            </w:pPr>
            <w:r w:rsidRPr="003E6057">
              <w:t>1</w:t>
            </w:r>
            <w:r w:rsidR="006F5634">
              <w:t>05,2</w:t>
            </w: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A67C3F" w:rsidRPr="003E6057" w:rsidRDefault="00A67C3F">
      <w:pPr>
        <w:pStyle w:val="Standard"/>
      </w:pPr>
    </w:p>
    <w:p w:rsidR="002E087C" w:rsidRPr="00703107" w:rsidRDefault="001436E7">
      <w:pPr>
        <w:pStyle w:val="Standard"/>
        <w:rPr>
          <w:b/>
          <w:bCs/>
        </w:rPr>
      </w:pPr>
      <w:r w:rsidRPr="00703107">
        <w:rPr>
          <w:b/>
          <w:bCs/>
        </w:rPr>
        <w:t>Unutar podskupine poreza na imovinu (AOP 018) veće odstupanje bilježi:</w:t>
      </w:r>
    </w:p>
    <w:p w:rsidR="00606EB2" w:rsidRPr="00703107" w:rsidRDefault="006F5634">
      <w:pPr>
        <w:pStyle w:val="Standard"/>
      </w:pPr>
      <w:r w:rsidRPr="00703107">
        <w:t xml:space="preserve"> </w:t>
      </w:r>
      <w:r w:rsidR="001436E7" w:rsidRPr="00703107">
        <w:t xml:space="preserve">(AOP 022) porez na imovinu koji je u odnosu na prethodnu godinu povećan za </w:t>
      </w:r>
      <w:r w:rsidR="001B3133" w:rsidRPr="00703107">
        <w:t>13</w:t>
      </w:r>
      <w:r w:rsidRPr="00703107">
        <w:t>3</w:t>
      </w:r>
      <w:r w:rsidR="001B3133" w:rsidRPr="00703107">
        <w:t>,</w:t>
      </w:r>
      <w:r w:rsidRPr="00703107">
        <w:t>6</w:t>
      </w:r>
      <w:r w:rsidR="001436E7" w:rsidRPr="00703107">
        <w:t xml:space="preserve"> % radi povećane aktivnosti na tržištu nekretnina.</w:t>
      </w:r>
    </w:p>
    <w:p w:rsidR="00AF6BF4" w:rsidRPr="00703107" w:rsidRDefault="00AF6BF4">
      <w:pPr>
        <w:pStyle w:val="Standard"/>
      </w:pPr>
    </w:p>
    <w:p w:rsidR="002A51BD" w:rsidRPr="00703107" w:rsidRDefault="002A51BD">
      <w:pPr>
        <w:pStyle w:val="Standard"/>
        <w:rPr>
          <w:b/>
          <w:bCs/>
        </w:rPr>
      </w:pPr>
      <w:r w:rsidRPr="00703107">
        <w:rPr>
          <w:b/>
          <w:bCs/>
        </w:rPr>
        <w:t xml:space="preserve">Unutar podskupine poreza na robu i usluge (AOP 024) veće odstupanje bilježi: </w:t>
      </w:r>
    </w:p>
    <w:p w:rsidR="00606EB2" w:rsidRPr="00703107" w:rsidRDefault="001436E7" w:rsidP="00766F3A">
      <w:pPr>
        <w:pStyle w:val="Standard"/>
      </w:pPr>
      <w:r w:rsidRPr="00703107">
        <w:t xml:space="preserve">(AOP 026) porez na promet koji je u odnosu na prethodnu godinu </w:t>
      </w:r>
      <w:r w:rsidR="00766F3A" w:rsidRPr="00703107">
        <w:t>smanjen</w:t>
      </w:r>
      <w:r w:rsidRPr="00703107">
        <w:t xml:space="preserve"> za </w:t>
      </w:r>
      <w:r w:rsidR="00766F3A" w:rsidRPr="00703107">
        <w:t>64,0</w:t>
      </w:r>
      <w:r w:rsidRPr="00703107">
        <w:t xml:space="preserve"> % </w:t>
      </w:r>
      <w:r w:rsidR="00766F3A" w:rsidRPr="00703107">
        <w:t xml:space="preserve">a </w:t>
      </w:r>
      <w:r w:rsidR="00AF6BF4" w:rsidRPr="00703107">
        <w:t xml:space="preserve">razlog smanjenju je </w:t>
      </w:r>
      <w:r w:rsidR="009E1BB0" w:rsidRPr="00703107">
        <w:t>manji promet poreza na potrošnju alkoholnih i bezalkoholnih pića.</w:t>
      </w:r>
    </w:p>
    <w:p w:rsidR="00766F3A" w:rsidRPr="00703107" w:rsidRDefault="00766F3A" w:rsidP="00766F3A">
      <w:pPr>
        <w:pStyle w:val="Standard"/>
      </w:pPr>
    </w:p>
    <w:p w:rsidR="007E2FF8" w:rsidRPr="00703107" w:rsidRDefault="00B51D87">
      <w:pPr>
        <w:pStyle w:val="Standard"/>
        <w:rPr>
          <w:b/>
          <w:bCs/>
        </w:rPr>
      </w:pPr>
      <w:r w:rsidRPr="00703107">
        <w:rPr>
          <w:b/>
          <w:bCs/>
        </w:rPr>
        <w:t xml:space="preserve">Unutar podskupine ostalih prihoda od poreza (AOP 035)  odstupanje bilježi: </w:t>
      </w:r>
    </w:p>
    <w:p w:rsidR="00855D4D" w:rsidRPr="00703107" w:rsidRDefault="00855D4D">
      <w:pPr>
        <w:pStyle w:val="Standard"/>
      </w:pPr>
      <w:r w:rsidRPr="00703107">
        <w:t xml:space="preserve">(AOP 038) ostali neraspoređeni prihodi od poreza </w:t>
      </w:r>
      <w:r w:rsidR="00766F3A" w:rsidRPr="00703107">
        <w:t>povećan</w:t>
      </w:r>
      <w:r w:rsidR="000342ED" w:rsidRPr="00703107">
        <w:t>i</w:t>
      </w:r>
      <w:r w:rsidRPr="00703107">
        <w:t xml:space="preserve"> su u odnosu na prethodnu godinu za </w:t>
      </w:r>
      <w:r w:rsidR="00766F3A" w:rsidRPr="00703107">
        <w:t>1.771,6</w:t>
      </w:r>
      <w:r w:rsidRPr="00703107">
        <w:t xml:space="preserve"> %.</w:t>
      </w:r>
    </w:p>
    <w:p w:rsidR="00606EB2" w:rsidRPr="00703107" w:rsidRDefault="00606EB2">
      <w:pPr>
        <w:pStyle w:val="Standard"/>
      </w:pPr>
    </w:p>
    <w:p w:rsidR="00606EB2" w:rsidRPr="00703107" w:rsidRDefault="00606EB2">
      <w:pPr>
        <w:pStyle w:val="Standard"/>
        <w:rPr>
          <w:rFonts w:ascii="Arial" w:hAnsi="Arial"/>
        </w:rPr>
      </w:pPr>
    </w:p>
    <w:p w:rsidR="00606EB2" w:rsidRPr="00703107" w:rsidRDefault="00606EB2">
      <w:pPr>
        <w:pStyle w:val="Standard"/>
        <w:jc w:val="both"/>
        <w:rPr>
          <w:rFonts w:ascii="Arial" w:hAnsi="Arial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b/>
          <w:bCs/>
          <w:sz w:val="26"/>
          <w:szCs w:val="26"/>
          <w:highlight w:val="cyan"/>
          <w:shd w:val="clear" w:color="auto" w:fill="C0C0C0"/>
        </w:rPr>
      </w:pPr>
    </w:p>
    <w:p w:rsidR="00606EB2" w:rsidRPr="003E6057" w:rsidRDefault="001436E7">
      <w:pPr>
        <w:pStyle w:val="Standard"/>
        <w:jc w:val="both"/>
      </w:pPr>
      <w:r w:rsidRPr="003E6057"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200B9">
            <w:pPr>
              <w:pStyle w:val="TableContents"/>
              <w:jc w:val="center"/>
            </w:pPr>
            <w:r>
              <w:t>27.286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200B9">
            <w:pPr>
              <w:pStyle w:val="TableContents"/>
              <w:jc w:val="center"/>
            </w:pPr>
            <w:r>
              <w:t>27.754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200B9">
            <w:pPr>
              <w:pStyle w:val="TableContents"/>
              <w:jc w:val="center"/>
            </w:pPr>
            <w:r>
              <w:t>101,7</w:t>
            </w:r>
          </w:p>
          <w:p w:rsidR="00AB1660" w:rsidRPr="003E6057" w:rsidRDefault="00AB1660">
            <w:pPr>
              <w:pStyle w:val="TableContents"/>
              <w:jc w:val="center"/>
            </w:pPr>
          </w:p>
          <w:p w:rsidR="00AB1660" w:rsidRPr="003E6057" w:rsidRDefault="00AB1660">
            <w:pPr>
              <w:pStyle w:val="TableContents"/>
              <w:jc w:val="center"/>
            </w:pPr>
          </w:p>
        </w:tc>
      </w:tr>
    </w:tbl>
    <w:p w:rsidR="00FF6080" w:rsidRDefault="00FF6080">
      <w:pPr>
        <w:pStyle w:val="Standard"/>
        <w:jc w:val="both"/>
      </w:pPr>
    </w:p>
    <w:p w:rsidR="00606EB2" w:rsidRDefault="00FB0ADF">
      <w:pPr>
        <w:pStyle w:val="Standard"/>
        <w:jc w:val="both"/>
      </w:pPr>
      <w:r w:rsidRPr="00703107">
        <w:t>Sredstva uplaćena tijekom 2020. godine iz državnog proračuna u iznosu od 27.754 kn (AOP 05</w:t>
      </w:r>
      <w:r w:rsidR="00315FC0" w:rsidRPr="00703107">
        <w:t>5</w:t>
      </w:r>
      <w:r w:rsidRPr="00703107">
        <w:t>) odnose se na isplate pomoći kao kompenzacijska mjera za fiskalne učinke izmjena u sustavu poreza na dohodak u visini razlike između prihoda od poreza na dohodak</w:t>
      </w:r>
      <w:r w:rsidR="00A37C38" w:rsidRPr="00703107">
        <w:t>.</w:t>
      </w:r>
    </w:p>
    <w:p w:rsidR="00484062" w:rsidRPr="00FB0ADF" w:rsidRDefault="00484062">
      <w:pPr>
        <w:pStyle w:val="Standard"/>
        <w:jc w:val="both"/>
      </w:pPr>
    </w:p>
    <w:p w:rsidR="00FB0ADF" w:rsidRDefault="00FB0ADF">
      <w:pPr>
        <w:pStyle w:val="Standard"/>
        <w:jc w:val="both"/>
        <w:rPr>
          <w:rFonts w:ascii="Arial" w:hAnsi="Arial"/>
        </w:rPr>
      </w:pPr>
    </w:p>
    <w:p w:rsidR="00FB0ADF" w:rsidRPr="003E6057" w:rsidRDefault="00FB0ADF">
      <w:pPr>
        <w:pStyle w:val="Standard"/>
        <w:jc w:val="both"/>
        <w:rPr>
          <w:rFonts w:ascii="Arial" w:hAnsi="Arial"/>
        </w:rPr>
      </w:pPr>
    </w:p>
    <w:p w:rsidR="00606EB2" w:rsidRPr="003E6057" w:rsidRDefault="00606EB2">
      <w:pPr>
        <w:pStyle w:val="Standard"/>
      </w:pPr>
    </w:p>
    <w:p w:rsidR="00606EB2" w:rsidRPr="003E6057" w:rsidRDefault="001436E7">
      <w:pPr>
        <w:pStyle w:val="Standard"/>
      </w:pPr>
      <w:r w:rsidRPr="003E6057">
        <w:rPr>
          <w:rFonts w:cs="Arial"/>
          <w:b/>
          <w:bCs/>
          <w:sz w:val="26"/>
          <w:szCs w:val="26"/>
        </w:rPr>
        <w:t>AOP 074 Prihodi od imovine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3E5D84" w:rsidP="00AE4A65">
            <w:pPr>
              <w:pStyle w:val="TableContents"/>
              <w:jc w:val="center"/>
            </w:pPr>
            <w:r>
              <w:t>167.837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3E5D84" w:rsidP="00FE069F">
            <w:pPr>
              <w:pStyle w:val="TableContents"/>
              <w:jc w:val="center"/>
            </w:pPr>
            <w:r>
              <w:t>149.729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3E5D84" w:rsidP="00AE4A65">
            <w:pPr>
              <w:pStyle w:val="TableContents"/>
              <w:jc w:val="center"/>
            </w:pPr>
            <w:r>
              <w:t>89,2</w:t>
            </w:r>
          </w:p>
        </w:tc>
      </w:tr>
    </w:tbl>
    <w:p w:rsidR="00BC72C4" w:rsidRPr="003E6057" w:rsidRDefault="00BC72C4">
      <w:pPr>
        <w:pStyle w:val="Standard"/>
      </w:pPr>
    </w:p>
    <w:p w:rsidR="00BC72C4" w:rsidRPr="003E6057" w:rsidRDefault="00BC72C4">
      <w:pPr>
        <w:pStyle w:val="Standard"/>
      </w:pPr>
    </w:p>
    <w:p w:rsidR="00606EB2" w:rsidRPr="00703107" w:rsidRDefault="001436E7">
      <w:pPr>
        <w:pStyle w:val="Standard"/>
        <w:rPr>
          <w:b/>
          <w:bCs/>
        </w:rPr>
      </w:pPr>
      <w:r w:rsidRPr="00703107">
        <w:t>U</w:t>
      </w:r>
      <w:r w:rsidRPr="00703107">
        <w:rPr>
          <w:b/>
          <w:bCs/>
        </w:rPr>
        <w:t xml:space="preserve">nutar podskupine prihoda (AOP </w:t>
      </w:r>
      <w:r w:rsidR="009219F8" w:rsidRPr="00703107">
        <w:rPr>
          <w:b/>
          <w:bCs/>
        </w:rPr>
        <w:t>083</w:t>
      </w:r>
      <w:r w:rsidRPr="00703107">
        <w:rPr>
          <w:b/>
          <w:bCs/>
        </w:rPr>
        <w:t>) odstupanje bilježi:</w:t>
      </w:r>
    </w:p>
    <w:p w:rsidR="002A757B" w:rsidRPr="00703107" w:rsidRDefault="003E5D84">
      <w:pPr>
        <w:pStyle w:val="Standard"/>
      </w:pPr>
      <w:r w:rsidRPr="00703107">
        <w:t xml:space="preserve">(AOP 084) prihod od naknada za koncesije smanjen je za 32,4 % </w:t>
      </w:r>
      <w:r w:rsidR="002A757B" w:rsidRPr="00703107">
        <w:t>.</w:t>
      </w:r>
    </w:p>
    <w:p w:rsidR="004E19CF" w:rsidRPr="00703107" w:rsidRDefault="004E19CF">
      <w:pPr>
        <w:pStyle w:val="Standard"/>
      </w:pPr>
      <w:r w:rsidRPr="00703107">
        <w:t xml:space="preserve">Razlog manjem ostvarenju prihoda </w:t>
      </w:r>
      <w:r w:rsidR="00F66C25" w:rsidRPr="00703107">
        <w:t>su manji prihodi s osnove koncesijskih naknada u izvještajnom razdoblju ove godine.</w:t>
      </w:r>
    </w:p>
    <w:p w:rsidR="004E19CF" w:rsidRPr="00703107" w:rsidRDefault="004E19CF">
      <w:pPr>
        <w:pStyle w:val="Standard"/>
      </w:pPr>
    </w:p>
    <w:p w:rsidR="004E19CF" w:rsidRPr="00703107" w:rsidRDefault="004E19CF">
      <w:pPr>
        <w:pStyle w:val="Standard"/>
      </w:pPr>
    </w:p>
    <w:p w:rsidR="004D066F" w:rsidRPr="00703107" w:rsidRDefault="002A757B" w:rsidP="00F66C25">
      <w:pPr>
        <w:pStyle w:val="Standard"/>
      </w:pPr>
      <w:r w:rsidRPr="00703107">
        <w:t xml:space="preserve"> </w:t>
      </w:r>
      <w:r w:rsidR="00BA12A4" w:rsidRPr="00703107">
        <w:t xml:space="preserve">(AOP 085) prihodi od zakupa i iznajmljivanja imovine, gdje je zabilježeno povećanje od 186,2 % a razlog povećanju je </w:t>
      </w:r>
      <w:r w:rsidR="00BA152B" w:rsidRPr="00703107">
        <w:t xml:space="preserve">veća naplata s osnove zakupa poljoprivrednog zemljišta u </w:t>
      </w:r>
      <w:r w:rsidR="00BD7C7B" w:rsidRPr="00703107">
        <w:t xml:space="preserve">izvještajnom </w:t>
      </w:r>
      <w:r w:rsidR="006F7B32" w:rsidRPr="00703107">
        <w:t>razd</w:t>
      </w:r>
      <w:r w:rsidR="00BA152B" w:rsidRPr="00703107">
        <w:t>oblju</w:t>
      </w:r>
      <w:r w:rsidR="00BD7C7B" w:rsidRPr="00703107">
        <w:t xml:space="preserve"> ove godine.</w:t>
      </w:r>
    </w:p>
    <w:p w:rsidR="004D066F" w:rsidRPr="00703107" w:rsidRDefault="004D066F">
      <w:pPr>
        <w:pStyle w:val="Standard"/>
        <w:jc w:val="both"/>
      </w:pPr>
    </w:p>
    <w:p w:rsidR="004D066F" w:rsidRPr="00703107" w:rsidRDefault="004D066F">
      <w:pPr>
        <w:pStyle w:val="Standard"/>
        <w:jc w:val="both"/>
      </w:pPr>
    </w:p>
    <w:p w:rsidR="00606EB2" w:rsidRPr="00317B8B" w:rsidRDefault="001436E7">
      <w:pPr>
        <w:pStyle w:val="Standard"/>
        <w:jc w:val="both"/>
      </w:pPr>
      <w:r w:rsidRPr="00703107">
        <w:rPr>
          <w:rFonts w:cs="Arial"/>
          <w:b/>
          <w:bCs/>
          <w:sz w:val="26"/>
          <w:szCs w:val="26"/>
        </w:rPr>
        <w:t>AOP 105 Prihodi od upravnih i administrativnih pristojbi</w:t>
      </w:r>
      <w:r w:rsidRPr="00317B8B">
        <w:rPr>
          <w:rFonts w:cs="Arial"/>
          <w:b/>
          <w:bCs/>
          <w:sz w:val="26"/>
          <w:szCs w:val="26"/>
        </w:rPr>
        <w:t>, pristojbi po posebnim propisima i naknada</w:t>
      </w:r>
    </w:p>
    <w:p w:rsidR="00606EB2" w:rsidRPr="00317B8B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17B8B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Indeks</w:t>
            </w:r>
          </w:p>
        </w:tc>
      </w:tr>
      <w:tr w:rsidR="00606EB2" w:rsidRPr="00317B8B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FC7CB7">
            <w:pPr>
              <w:pStyle w:val="TableContents"/>
              <w:jc w:val="center"/>
            </w:pPr>
            <w:r>
              <w:t>23.922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FC7CB7">
            <w:pPr>
              <w:pStyle w:val="TableContents"/>
              <w:jc w:val="center"/>
            </w:pPr>
            <w:r>
              <w:t>258.689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FC7CB7">
            <w:pPr>
              <w:pStyle w:val="TableContents"/>
              <w:jc w:val="center"/>
            </w:pPr>
            <w:r>
              <w:t>1.081,4</w:t>
            </w:r>
          </w:p>
        </w:tc>
      </w:tr>
    </w:tbl>
    <w:p w:rsidR="00606EB2" w:rsidRPr="00317B8B" w:rsidRDefault="00606EB2">
      <w:pPr>
        <w:pStyle w:val="Standard"/>
        <w:jc w:val="both"/>
        <w:rPr>
          <w:rFonts w:ascii="Arial" w:hAnsi="Arial"/>
        </w:rPr>
      </w:pPr>
    </w:p>
    <w:p w:rsidR="00606EB2" w:rsidRPr="00317B8B" w:rsidRDefault="00606EB2">
      <w:pPr>
        <w:pStyle w:val="Standard"/>
        <w:jc w:val="both"/>
        <w:rPr>
          <w:rFonts w:ascii="Arial" w:hAnsi="Arial"/>
        </w:rPr>
      </w:pPr>
    </w:p>
    <w:p w:rsidR="00DA251D" w:rsidRPr="00703107" w:rsidRDefault="001436E7">
      <w:pPr>
        <w:pStyle w:val="Standard"/>
        <w:rPr>
          <w:b/>
          <w:bCs/>
        </w:rPr>
      </w:pPr>
      <w:r w:rsidRPr="003E6057">
        <w:rPr>
          <w:b/>
          <w:bCs/>
        </w:rPr>
        <w:t>Unutar podskupine prihoda upravne i administrativne pristojbe (AOP 106)  odstupanje</w:t>
      </w:r>
      <w:r w:rsidRPr="003E6057">
        <w:t xml:space="preserve"> </w:t>
      </w:r>
      <w:r w:rsidR="00DA251D" w:rsidRPr="00703107">
        <w:rPr>
          <w:b/>
          <w:bCs/>
        </w:rPr>
        <w:t>b</w:t>
      </w:r>
      <w:r w:rsidRPr="00703107">
        <w:rPr>
          <w:b/>
          <w:bCs/>
        </w:rPr>
        <w:t>ilježi:</w:t>
      </w:r>
    </w:p>
    <w:p w:rsidR="009314C8" w:rsidRPr="00703107" w:rsidRDefault="001436E7">
      <w:pPr>
        <w:pStyle w:val="Standard"/>
      </w:pPr>
      <w:r w:rsidRPr="00703107">
        <w:t xml:space="preserve">(AOP 108) županijske, gradske i općinske pristojbe i naknade koje  u odnosu na prethodnu godinu </w:t>
      </w:r>
      <w:r w:rsidR="003B3C4A" w:rsidRPr="00703107">
        <w:t xml:space="preserve">bilježe </w:t>
      </w:r>
      <w:r w:rsidR="00FC7CB7" w:rsidRPr="00703107">
        <w:t>smanjenje</w:t>
      </w:r>
      <w:r w:rsidR="003B3C4A" w:rsidRPr="00703107">
        <w:t xml:space="preserve">  od </w:t>
      </w:r>
      <w:r w:rsidR="00FC7CB7" w:rsidRPr="00703107">
        <w:t>72,2</w:t>
      </w:r>
      <w:r w:rsidR="003B3C4A" w:rsidRPr="00703107">
        <w:t xml:space="preserve"> %</w:t>
      </w:r>
      <w:r w:rsidR="00FC7CB7" w:rsidRPr="00703107">
        <w:t>.</w:t>
      </w:r>
    </w:p>
    <w:p w:rsidR="00E77C24" w:rsidRDefault="00E77C24">
      <w:pPr>
        <w:pStyle w:val="Standard"/>
      </w:pPr>
      <w:r w:rsidRPr="00703107">
        <w:t>Razlog smanjenju je manja naplata s osnove grobne naknade</w:t>
      </w:r>
      <w:r w:rsidR="00136395" w:rsidRPr="00703107">
        <w:t xml:space="preserve"> i ostalih prihoda – groblje.</w:t>
      </w:r>
    </w:p>
    <w:p w:rsidR="002C0E49" w:rsidRDefault="002C0E49">
      <w:pPr>
        <w:pStyle w:val="Standard"/>
      </w:pPr>
    </w:p>
    <w:p w:rsidR="00606EB2" w:rsidRPr="003E6057" w:rsidRDefault="00FC7CB7">
      <w:pPr>
        <w:pStyle w:val="Standard"/>
      </w:pPr>
      <w:r>
        <w:t xml:space="preserve"> </w:t>
      </w:r>
    </w:p>
    <w:p w:rsidR="00F613EF" w:rsidRDefault="00F613EF">
      <w:pPr>
        <w:pStyle w:val="Standard"/>
      </w:pPr>
    </w:p>
    <w:p w:rsidR="005C5276" w:rsidRDefault="005C5276">
      <w:pPr>
        <w:pStyle w:val="Standard"/>
      </w:pPr>
    </w:p>
    <w:p w:rsidR="005C5276" w:rsidRPr="003E6057" w:rsidRDefault="005C5276">
      <w:pPr>
        <w:pStyle w:val="Standard"/>
      </w:pPr>
    </w:p>
    <w:p w:rsidR="00606EB2" w:rsidRPr="00703107" w:rsidRDefault="001436E7">
      <w:pPr>
        <w:pStyle w:val="Standard"/>
        <w:rPr>
          <w:b/>
          <w:bCs/>
        </w:rPr>
      </w:pPr>
      <w:r w:rsidRPr="00703107">
        <w:rPr>
          <w:b/>
          <w:bCs/>
        </w:rPr>
        <w:t>Unutar podskupine prihodi po posebnim propisima (AOP 111) odstupanje bilježi:</w:t>
      </w:r>
    </w:p>
    <w:p w:rsidR="00C47B42" w:rsidRPr="00703107" w:rsidRDefault="00C47B42">
      <w:pPr>
        <w:pStyle w:val="Standard"/>
      </w:pPr>
      <w:r w:rsidRPr="00703107">
        <w:t>(AOP 11</w:t>
      </w:r>
      <w:r w:rsidR="006F7B32" w:rsidRPr="00703107">
        <w:t>3</w:t>
      </w:r>
      <w:r w:rsidRPr="00703107">
        <w:t>)</w:t>
      </w:r>
      <w:r w:rsidR="006F7B32" w:rsidRPr="00703107">
        <w:t xml:space="preserve"> prihodi vodnog gospodarstva bilježe povećanje od 555,3 %</w:t>
      </w:r>
      <w:r w:rsidR="005C5276" w:rsidRPr="00703107">
        <w:t xml:space="preserve"> radi veće naplate vodnog doprinosa Hrvatskih voda.</w:t>
      </w:r>
    </w:p>
    <w:p w:rsidR="006F7B32" w:rsidRPr="00703107" w:rsidRDefault="006F7B32">
      <w:pPr>
        <w:pStyle w:val="Standard"/>
      </w:pPr>
      <w:r w:rsidRPr="00703107">
        <w:t>(AOP 114) doprinosi za šume bilježe smanjenje od 44,6 %</w:t>
      </w:r>
      <w:r w:rsidR="005C5276" w:rsidRPr="00703107">
        <w:t xml:space="preserve"> radi smanjenog prometa šumskog doprinosa u izvještajnom razdoblju.</w:t>
      </w:r>
    </w:p>
    <w:p w:rsidR="0026700C" w:rsidRPr="00703107" w:rsidRDefault="003B3C4A">
      <w:pPr>
        <w:pStyle w:val="Standard"/>
      </w:pPr>
      <w:r w:rsidRPr="00703107">
        <w:t xml:space="preserve"> </w:t>
      </w:r>
    </w:p>
    <w:p w:rsidR="00606EB2" w:rsidRPr="00703107" w:rsidRDefault="001436E7">
      <w:pPr>
        <w:pStyle w:val="Standard"/>
        <w:rPr>
          <w:b/>
          <w:bCs/>
        </w:rPr>
      </w:pPr>
      <w:r w:rsidRPr="00703107">
        <w:rPr>
          <w:b/>
          <w:bCs/>
        </w:rPr>
        <w:t>Unutar podskupine komunalni doprinosi i naknade (AOP 119) odstupanje bilježi:</w:t>
      </w:r>
    </w:p>
    <w:p w:rsidR="00606EB2" w:rsidRPr="00703107" w:rsidRDefault="001436E7">
      <w:pPr>
        <w:pStyle w:val="Standard"/>
      </w:pPr>
      <w:r w:rsidRPr="00703107">
        <w:t xml:space="preserve">(AOP 120) komunalni doprinosi, gdje je zabilježeno </w:t>
      </w:r>
      <w:r w:rsidR="00DA6BC7" w:rsidRPr="00703107">
        <w:t>povećanje od 2.745,6</w:t>
      </w:r>
      <w:r w:rsidRPr="00703107">
        <w:t xml:space="preserve"> %</w:t>
      </w:r>
      <w:r w:rsidR="00C17201" w:rsidRPr="00703107">
        <w:t xml:space="preserve"> a odnosi se na plaćanje zaostalih doprinosa iz protekle godine.</w:t>
      </w:r>
    </w:p>
    <w:p w:rsidR="00606EB2" w:rsidRPr="003E6057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703107">
        <w:t xml:space="preserve">(AOP 121)  komunalne naknade, gdje je zabilježeno </w:t>
      </w:r>
      <w:r w:rsidR="0026700C" w:rsidRPr="00703107">
        <w:t>povećanje</w:t>
      </w:r>
      <w:r w:rsidR="00345DB5" w:rsidRPr="00703107">
        <w:t xml:space="preserve"> </w:t>
      </w:r>
      <w:r w:rsidRPr="00703107">
        <w:t xml:space="preserve"> od </w:t>
      </w:r>
      <w:r w:rsidR="00DA6BC7" w:rsidRPr="00703107">
        <w:t>135,4</w:t>
      </w:r>
      <w:r w:rsidR="0026700C" w:rsidRPr="00703107">
        <w:t xml:space="preserve"> </w:t>
      </w:r>
      <w:r w:rsidR="00345DB5" w:rsidRPr="00703107">
        <w:t xml:space="preserve">% </w:t>
      </w:r>
      <w:r w:rsidR="00C17201" w:rsidRPr="00703107">
        <w:t xml:space="preserve">a odnosi se na plaćanje zaostalih </w:t>
      </w:r>
      <w:r w:rsidR="00C335EC" w:rsidRPr="00703107">
        <w:t>naknada</w:t>
      </w:r>
      <w:r w:rsidR="00C17201" w:rsidRPr="00703107">
        <w:t xml:space="preserve"> iz proteklih godina.</w:t>
      </w:r>
    </w:p>
    <w:p w:rsidR="00606EB2" w:rsidRPr="003E6057" w:rsidRDefault="00606EB2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606EB2" w:rsidRPr="003E6057" w:rsidRDefault="001436E7">
      <w:pPr>
        <w:pStyle w:val="Standard"/>
        <w:jc w:val="both"/>
      </w:pPr>
      <w:r w:rsidRPr="003E6057">
        <w:rPr>
          <w:rFonts w:cs="Arial"/>
          <w:b/>
          <w:bCs/>
          <w:sz w:val="26"/>
          <w:szCs w:val="26"/>
        </w:rPr>
        <w:t>AOP 123 Prihodi od prodaje proizvoda i robe te pruženih usluga i prihodi od donacija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D12AAA">
            <w:pPr>
              <w:pStyle w:val="TableContents"/>
              <w:jc w:val="center"/>
            </w:pPr>
            <w:r>
              <w:t>1.200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D12AAA" w:rsidP="00AB1660">
            <w:pPr>
              <w:pStyle w:val="TableContents"/>
              <w:jc w:val="center"/>
            </w:pPr>
            <w:r>
              <w:t>2.000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D12AAA">
            <w:pPr>
              <w:pStyle w:val="TableContents"/>
              <w:jc w:val="center"/>
            </w:pPr>
            <w:r>
              <w:t>166,7</w:t>
            </w:r>
          </w:p>
          <w:p w:rsidR="000078C9" w:rsidRPr="003E6057" w:rsidRDefault="000078C9">
            <w:pPr>
              <w:pStyle w:val="TableContents"/>
              <w:jc w:val="center"/>
            </w:pP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Pr="003E6057" w:rsidRDefault="001436E7">
      <w:pPr>
        <w:pStyle w:val="Standard"/>
      </w:pPr>
      <w:r w:rsidRPr="00703107">
        <w:t xml:space="preserve">U izvještajnom razdoblju </w:t>
      </w:r>
      <w:r w:rsidR="0033551A" w:rsidRPr="00703107">
        <w:t xml:space="preserve">bilježi se povećanje radi ostvarenih </w:t>
      </w:r>
      <w:r w:rsidR="00F04E09" w:rsidRPr="00703107">
        <w:t xml:space="preserve">zaostalih </w:t>
      </w:r>
      <w:r w:rsidR="0033551A" w:rsidRPr="00703107">
        <w:t>prihoda s osnove</w:t>
      </w:r>
      <w:r w:rsidR="00F04E09" w:rsidRPr="00703107">
        <w:t xml:space="preserve"> zakupa poslovnog prostora odnosno prostora na kojem je postavljen bankomat.</w:t>
      </w:r>
    </w:p>
    <w:p w:rsidR="003D1DE7" w:rsidRPr="003E6057" w:rsidRDefault="003D1DE7">
      <w:pPr>
        <w:pStyle w:val="Standard"/>
      </w:pPr>
    </w:p>
    <w:p w:rsidR="00EF04BA" w:rsidRPr="003E6057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:rsidR="00EF04BA" w:rsidRPr="003E6057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:rsidR="00EF04BA" w:rsidRPr="003E6057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302 Prihodi od prodaje proizvedene dugotrajne imovine</w:t>
      </w:r>
    </w:p>
    <w:p w:rsidR="00606EB2" w:rsidRPr="003E6057" w:rsidRDefault="00606EB2">
      <w:pPr>
        <w:pStyle w:val="Standard"/>
        <w:ind w:left="540" w:hanging="540"/>
        <w:jc w:val="both"/>
        <w:rPr>
          <w:rFonts w:ascii="Arial" w:hAnsi="Arial"/>
        </w:rPr>
      </w:pPr>
    </w:p>
    <w:p w:rsidR="00606EB2" w:rsidRPr="003E6057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870ED" w:rsidP="005F624E">
            <w:pPr>
              <w:pStyle w:val="TableContents"/>
              <w:jc w:val="center"/>
            </w:pPr>
            <w:r>
              <w:t>431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870ED" w:rsidP="005F624E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870ED" w:rsidP="005F624E">
            <w:pPr>
              <w:pStyle w:val="TableContents"/>
              <w:jc w:val="center"/>
            </w:pPr>
            <w:r>
              <w:t>58,0</w:t>
            </w:r>
          </w:p>
        </w:tc>
      </w:tr>
    </w:tbl>
    <w:p w:rsidR="001870ED" w:rsidRDefault="001870ED">
      <w:pPr>
        <w:pStyle w:val="Standard"/>
        <w:rPr>
          <w:rFonts w:ascii="Arial" w:hAnsi="Arial"/>
        </w:rPr>
      </w:pPr>
    </w:p>
    <w:p w:rsidR="001B11A8" w:rsidRPr="001B11A8" w:rsidRDefault="001B11A8">
      <w:pPr>
        <w:pStyle w:val="Standard"/>
      </w:pPr>
    </w:p>
    <w:p w:rsidR="009D44A4" w:rsidRPr="00703107" w:rsidRDefault="001B11A8" w:rsidP="009D44A4">
      <w:pPr>
        <w:pStyle w:val="Standard"/>
        <w:jc w:val="both"/>
      </w:pPr>
      <w:r w:rsidRPr="00703107">
        <w:t xml:space="preserve">U izvještajnom razdoblju prošle godine ostvareni su veći prihodi s osnove prihoda od prodaje stanova </w:t>
      </w:r>
      <w:r w:rsidR="009D44A4" w:rsidRPr="00703107">
        <w:t>s osnova mjesečne obročne uplate prodan</w:t>
      </w:r>
      <w:r w:rsidR="00CF20A3" w:rsidRPr="00703107">
        <w:t xml:space="preserve">ih stanova - </w:t>
      </w:r>
      <w:r w:rsidR="009D44A4" w:rsidRPr="00703107">
        <w:t xml:space="preserve"> 2 (dva) stana sukladno odredbama ugovora o prodaji stanova na kojem postoji stanarsko pravo, umanjeno za 55% povrata sredstava u državni proračun.  </w:t>
      </w:r>
    </w:p>
    <w:p w:rsidR="00D24AF9" w:rsidRPr="00703107" w:rsidRDefault="005205B3" w:rsidP="001870ED">
      <w:pPr>
        <w:pStyle w:val="Standard"/>
      </w:pPr>
      <w:r w:rsidRPr="00703107">
        <w:t>Pošto se u ovoj godini vrši uplata za</w:t>
      </w:r>
      <w:r w:rsidR="00332B81" w:rsidRPr="00703107">
        <w:t xml:space="preserve"> 1 </w:t>
      </w:r>
      <w:r w:rsidRPr="00703107">
        <w:t xml:space="preserve"> </w:t>
      </w:r>
      <w:r w:rsidR="00332B81" w:rsidRPr="00703107">
        <w:t>(</w:t>
      </w:r>
      <w:r w:rsidRPr="00703107">
        <w:t>jedan</w:t>
      </w:r>
      <w:r w:rsidR="00332B81" w:rsidRPr="00703107">
        <w:t xml:space="preserve">) stan </w:t>
      </w:r>
      <w:r w:rsidRPr="00703107">
        <w:t>došlo je do iskazanog smanjenja.</w:t>
      </w:r>
    </w:p>
    <w:p w:rsidR="00D24AF9" w:rsidRPr="00703107" w:rsidRDefault="00D24AF9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6057" w:rsidRDefault="001436E7">
      <w:pPr>
        <w:pStyle w:val="Standard"/>
        <w:jc w:val="both"/>
        <w:rPr>
          <w:rFonts w:ascii="Arial" w:hAnsi="Arial" w:cs="Arial"/>
          <w:b/>
          <w:bCs/>
        </w:rPr>
      </w:pPr>
      <w:r w:rsidRPr="00703107">
        <w:rPr>
          <w:rFonts w:ascii="Arial" w:hAnsi="Arial" w:cs="Arial"/>
          <w:b/>
          <w:bCs/>
        </w:rPr>
        <w:t>B) RASHODI POSLOVANJA</w:t>
      </w:r>
    </w:p>
    <w:p w:rsidR="00606EB2" w:rsidRPr="003E6057" w:rsidRDefault="00606EB2">
      <w:pPr>
        <w:pStyle w:val="Standard"/>
        <w:jc w:val="both"/>
        <w:rPr>
          <w:rFonts w:ascii="Arial" w:hAnsi="Arial" w:cs="Arial"/>
        </w:rPr>
      </w:pPr>
    </w:p>
    <w:p w:rsidR="00606EB2" w:rsidRPr="003E6057" w:rsidRDefault="001436E7">
      <w:pPr>
        <w:pStyle w:val="Standard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149 Rashodi za zaposlene</w:t>
      </w:r>
    </w:p>
    <w:p w:rsidR="00606EB2" w:rsidRPr="003E6057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3E605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533C9">
            <w:pPr>
              <w:pStyle w:val="TableContents"/>
              <w:jc w:val="center"/>
            </w:pPr>
            <w:r>
              <w:t>141.967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533C9">
            <w:pPr>
              <w:pStyle w:val="TableContents"/>
              <w:jc w:val="center"/>
            </w:pPr>
            <w:r>
              <w:t>127.869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533C9">
            <w:pPr>
              <w:pStyle w:val="TableContents"/>
              <w:jc w:val="center"/>
            </w:pPr>
            <w:r>
              <w:t>90,1</w:t>
            </w:r>
          </w:p>
          <w:p w:rsidR="00606EB2" w:rsidRPr="003E6057" w:rsidRDefault="00606EB2">
            <w:pPr>
              <w:pStyle w:val="TableContents"/>
              <w:jc w:val="center"/>
            </w:pPr>
          </w:p>
        </w:tc>
      </w:tr>
    </w:tbl>
    <w:p w:rsidR="00606EB2" w:rsidRPr="003E6057" w:rsidRDefault="00606EB2">
      <w:pPr>
        <w:pStyle w:val="Standard"/>
        <w:rPr>
          <w:rFonts w:ascii="Arial" w:hAnsi="Arial"/>
        </w:rPr>
      </w:pPr>
    </w:p>
    <w:p w:rsidR="00606EB2" w:rsidRPr="003E6057" w:rsidRDefault="001436E7">
      <w:pPr>
        <w:pStyle w:val="Standard"/>
        <w:jc w:val="both"/>
      </w:pPr>
      <w:r w:rsidRPr="00703107">
        <w:t>Ovi rashodi izvršeni su u iznosu od</w:t>
      </w:r>
      <w:r w:rsidR="00093BAA" w:rsidRPr="00703107">
        <w:t xml:space="preserve"> </w:t>
      </w:r>
      <w:r w:rsidR="006533C9" w:rsidRPr="00703107">
        <w:t>127.869</w:t>
      </w:r>
      <w:r w:rsidRPr="00703107">
        <w:t xml:space="preserve"> kn ili </w:t>
      </w:r>
      <w:r w:rsidR="006533C9" w:rsidRPr="00703107">
        <w:t>90,1</w:t>
      </w:r>
      <w:r w:rsidRPr="00703107">
        <w:t xml:space="preserve"> % u odnosu na ostvarenje prethodne godine. Obuhvaćaju plaće za redovan rad dužnosnika, službenika i namještenika</w:t>
      </w:r>
      <w:r w:rsidR="009B3419" w:rsidRPr="00703107">
        <w:t xml:space="preserve">. </w:t>
      </w:r>
      <w:r w:rsidRPr="00703107">
        <w:t xml:space="preserve">Zbog </w:t>
      </w:r>
      <w:r w:rsidR="006533C9" w:rsidRPr="00703107">
        <w:lastRenderedPageBreak/>
        <w:t>prestanka radog odnosa</w:t>
      </w:r>
      <w:r w:rsidR="00F51CD4" w:rsidRPr="00703107">
        <w:t xml:space="preserve"> u izvještajnom razdoblju</w:t>
      </w:r>
      <w:r w:rsidR="006533C9" w:rsidRPr="00703107">
        <w:t xml:space="preserve"> jedne službenice došlo je do iskazanog smanjenja.</w:t>
      </w:r>
    </w:p>
    <w:p w:rsidR="00606EB2" w:rsidRPr="003E6057" w:rsidRDefault="00606EB2">
      <w:pPr>
        <w:pStyle w:val="Standard"/>
        <w:jc w:val="both"/>
        <w:rPr>
          <w:sz w:val="26"/>
          <w:szCs w:val="26"/>
        </w:rPr>
      </w:pPr>
    </w:p>
    <w:p w:rsidR="00606EB2" w:rsidRPr="003E6057" w:rsidRDefault="00606EB2">
      <w:pPr>
        <w:pStyle w:val="Standard"/>
        <w:ind w:left="705"/>
        <w:jc w:val="both"/>
        <w:rPr>
          <w:rFonts w:ascii="Arial" w:hAnsi="Arial"/>
        </w:rPr>
      </w:pPr>
    </w:p>
    <w:p w:rsidR="00606EB2" w:rsidRPr="003E6057" w:rsidRDefault="001436E7">
      <w:pPr>
        <w:pStyle w:val="Standard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160 Materijalni rashodi</w:t>
      </w:r>
    </w:p>
    <w:p w:rsidR="00606EB2" w:rsidRPr="003E6057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3E605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946CE">
            <w:pPr>
              <w:pStyle w:val="TableContents"/>
              <w:jc w:val="center"/>
            </w:pPr>
            <w:r>
              <w:t>190.513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946CE">
            <w:pPr>
              <w:pStyle w:val="TableContents"/>
              <w:jc w:val="center"/>
            </w:pPr>
            <w:r>
              <w:t>272.100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946CE" w:rsidP="004432AF">
            <w:pPr>
              <w:pStyle w:val="TableContents"/>
              <w:jc w:val="center"/>
            </w:pPr>
            <w:r>
              <w:t>142,8</w:t>
            </w: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Default="00862D82">
      <w:pPr>
        <w:pStyle w:val="Standard"/>
        <w:jc w:val="both"/>
        <w:rPr>
          <w:b/>
        </w:rPr>
      </w:pPr>
      <w:r w:rsidRPr="003E6057">
        <w:rPr>
          <w:b/>
        </w:rPr>
        <w:t>Unutar podskupne rashoda naknade troškova zaposlenima (AOP 161) odstupanje bilježi:</w:t>
      </w:r>
    </w:p>
    <w:p w:rsidR="000D479E" w:rsidRPr="00703107" w:rsidRDefault="000D479E">
      <w:pPr>
        <w:pStyle w:val="Standard"/>
        <w:jc w:val="both"/>
        <w:rPr>
          <w:bCs/>
        </w:rPr>
      </w:pPr>
      <w:r w:rsidRPr="00703107">
        <w:rPr>
          <w:bCs/>
        </w:rPr>
        <w:t xml:space="preserve">(AOP 161) naknade troškova zaposlenima izvršene su u iznosu od 7.750 kn </w:t>
      </w:r>
      <w:r w:rsidR="008F7319" w:rsidRPr="00703107">
        <w:rPr>
          <w:bCs/>
        </w:rPr>
        <w:t xml:space="preserve"> </w:t>
      </w:r>
      <w:r w:rsidRPr="00703107">
        <w:rPr>
          <w:bCs/>
        </w:rPr>
        <w:t>ili 113,5 % u odnosu na ostvarenje prethodne godine.</w:t>
      </w:r>
    </w:p>
    <w:p w:rsidR="000D479E" w:rsidRPr="00703107" w:rsidRDefault="000D479E">
      <w:pPr>
        <w:pStyle w:val="Standard"/>
        <w:jc w:val="both"/>
        <w:rPr>
          <w:bCs/>
        </w:rPr>
      </w:pPr>
      <w:r w:rsidRPr="00703107">
        <w:rPr>
          <w:bCs/>
        </w:rPr>
        <w:t>(AOP 162) službena putovanja izvršena su u iznosu od 2.832 kn ili 188,8 % u odnosu na ostvarenje prethodne godine.</w:t>
      </w:r>
    </w:p>
    <w:p w:rsidR="00E21D03" w:rsidRPr="00703107" w:rsidRDefault="00E21D03">
      <w:pPr>
        <w:pStyle w:val="Standard"/>
        <w:jc w:val="both"/>
      </w:pPr>
      <w:r w:rsidRPr="00703107">
        <w:rPr>
          <w:bCs/>
        </w:rPr>
        <w:t>(AOP 163) naknade za prijevoz, za rad na terenu i odvojeni život izvršene su u iznosu od</w:t>
      </w:r>
      <w:r w:rsidRPr="00703107">
        <w:t xml:space="preserve"> </w:t>
      </w:r>
      <w:r w:rsidR="000D479E" w:rsidRPr="00703107">
        <w:t>4.218</w:t>
      </w:r>
      <w:r w:rsidRPr="00703107">
        <w:t xml:space="preserve"> kn ili </w:t>
      </w:r>
      <w:r w:rsidR="000D479E" w:rsidRPr="00703107">
        <w:t>87,4</w:t>
      </w:r>
      <w:r w:rsidRPr="00703107">
        <w:t xml:space="preserve"> % u odnosu na ostvarenje prethodne godine.</w:t>
      </w:r>
    </w:p>
    <w:p w:rsidR="00862D82" w:rsidRPr="00703107" w:rsidRDefault="00D65EF3">
      <w:pPr>
        <w:pStyle w:val="Standard"/>
        <w:jc w:val="both"/>
      </w:pPr>
      <w:r w:rsidRPr="00703107">
        <w:t xml:space="preserve">(AOP 164) stručno usavršavanje zaposlenika u iznosu od </w:t>
      </w:r>
      <w:r w:rsidR="000D479E" w:rsidRPr="00703107">
        <w:t>700</w:t>
      </w:r>
      <w:r w:rsidRPr="00703107">
        <w:t xml:space="preserve"> kn ili </w:t>
      </w:r>
      <w:r w:rsidR="00BA7FBF" w:rsidRPr="00703107">
        <w:t>1</w:t>
      </w:r>
      <w:r w:rsidR="000D479E" w:rsidRPr="00703107">
        <w:t>40,0</w:t>
      </w:r>
      <w:r w:rsidR="00BA7FBF" w:rsidRPr="00703107">
        <w:t xml:space="preserve"> </w:t>
      </w:r>
      <w:r w:rsidRPr="00703107">
        <w:t>% u odnosu na ostvarenje prethodne godine.</w:t>
      </w:r>
    </w:p>
    <w:p w:rsidR="00862D82" w:rsidRPr="00703107" w:rsidRDefault="00862D82">
      <w:pPr>
        <w:pStyle w:val="Standard"/>
        <w:jc w:val="both"/>
      </w:pPr>
    </w:p>
    <w:p w:rsidR="00606EB2" w:rsidRPr="00703107" w:rsidRDefault="001436E7">
      <w:pPr>
        <w:pStyle w:val="Standard"/>
        <w:jc w:val="both"/>
        <w:rPr>
          <w:b/>
        </w:rPr>
      </w:pPr>
      <w:r w:rsidRPr="00703107">
        <w:rPr>
          <w:b/>
        </w:rPr>
        <w:t>Unutar podskupine rashoda za materijal i energiju (AOP 166) odstupanje bilježi:</w:t>
      </w:r>
    </w:p>
    <w:p w:rsidR="00606EB2" w:rsidRPr="00703107" w:rsidRDefault="001436E7">
      <w:pPr>
        <w:pStyle w:val="Standard"/>
        <w:jc w:val="both"/>
      </w:pPr>
      <w:r w:rsidRPr="00703107">
        <w:t>(AOP 167) uredski materijal i ostali materijalni r</w:t>
      </w:r>
      <w:r w:rsidR="00521830" w:rsidRPr="00703107">
        <w:t xml:space="preserve">ashodi izvršeni su u iznosu od </w:t>
      </w:r>
      <w:r w:rsidR="00FA3053" w:rsidRPr="00703107">
        <w:t>6.125</w:t>
      </w:r>
      <w:r w:rsidRPr="00703107">
        <w:t xml:space="preserve"> kn ili </w:t>
      </w:r>
      <w:r w:rsidR="00FA3053" w:rsidRPr="00703107">
        <w:t>87,0</w:t>
      </w:r>
      <w:r w:rsidR="00521830" w:rsidRPr="00703107">
        <w:t xml:space="preserve"> </w:t>
      </w:r>
      <w:r w:rsidRPr="00703107">
        <w:t xml:space="preserve">% u odnosu na ostvarenje prethodne godine. </w:t>
      </w:r>
    </w:p>
    <w:p w:rsidR="00606EB2" w:rsidRPr="00703107" w:rsidRDefault="001436E7">
      <w:pPr>
        <w:pStyle w:val="Standard"/>
        <w:jc w:val="both"/>
      </w:pPr>
      <w:r w:rsidRPr="00703107">
        <w:t xml:space="preserve">Zbog </w:t>
      </w:r>
      <w:r w:rsidR="00FA3053" w:rsidRPr="00703107">
        <w:t>smanjenja</w:t>
      </w:r>
      <w:r w:rsidRPr="00703107">
        <w:t xml:space="preserve"> </w:t>
      </w:r>
      <w:r w:rsidR="00640D25" w:rsidRPr="00703107">
        <w:t xml:space="preserve">rashoda za nabavu </w:t>
      </w:r>
      <w:r w:rsidR="00613D39" w:rsidRPr="00703107">
        <w:t>uredskog materijala</w:t>
      </w:r>
      <w:r w:rsidRPr="00703107">
        <w:t xml:space="preserve"> došlo je do </w:t>
      </w:r>
      <w:r w:rsidR="00FA3053" w:rsidRPr="00703107">
        <w:t>smanjenja</w:t>
      </w:r>
      <w:r w:rsidRPr="00703107">
        <w:t xml:space="preserve"> u izvještajnom razdoblju.</w:t>
      </w:r>
    </w:p>
    <w:p w:rsidR="005205B3" w:rsidRPr="00703107" w:rsidRDefault="005205B3">
      <w:pPr>
        <w:pStyle w:val="Standard"/>
        <w:jc w:val="both"/>
      </w:pPr>
      <w:r w:rsidRPr="00703107">
        <w:t>(AOP 169) energija – izvršeni su u iznosu od 40.957 kn ili 116,6 % u odnosu na ostvarenje prethodne godine</w:t>
      </w:r>
      <w:r w:rsidR="00694D78" w:rsidRPr="00703107">
        <w:t>.</w:t>
      </w:r>
    </w:p>
    <w:p w:rsidR="00694D78" w:rsidRPr="00703107" w:rsidRDefault="007D7ACC">
      <w:pPr>
        <w:pStyle w:val="Standard"/>
        <w:jc w:val="both"/>
      </w:pPr>
      <w:r w:rsidRPr="00703107">
        <w:t>Zbog povećanja rashoda za javnu rasvjetu - opskrbe i korištenje mreže došlo je do iskazanog povećanja.</w:t>
      </w:r>
    </w:p>
    <w:p w:rsidR="00567E14" w:rsidRPr="00703107" w:rsidRDefault="00567E14">
      <w:pPr>
        <w:pStyle w:val="Standard"/>
        <w:jc w:val="both"/>
      </w:pPr>
      <w:r w:rsidRPr="00703107">
        <w:t xml:space="preserve">(AOP 170) materijal i dijelovi za tekuće i investicijsko održavanje izvršeni su u iznosu od </w:t>
      </w:r>
      <w:r w:rsidR="00694D78" w:rsidRPr="00703107">
        <w:t xml:space="preserve">8.505 </w:t>
      </w:r>
      <w:r w:rsidRPr="00703107">
        <w:t xml:space="preserve"> kn ili </w:t>
      </w:r>
      <w:r w:rsidR="00694D78" w:rsidRPr="00703107">
        <w:t>536,3</w:t>
      </w:r>
      <w:r w:rsidRPr="00703107">
        <w:t xml:space="preserve"> % u odnosu na ostvarenje prethodne godine.</w:t>
      </w:r>
    </w:p>
    <w:p w:rsidR="001447D1" w:rsidRPr="00703107" w:rsidRDefault="00567E14">
      <w:pPr>
        <w:pStyle w:val="Standard"/>
        <w:jc w:val="both"/>
      </w:pPr>
      <w:r w:rsidRPr="00703107">
        <w:t xml:space="preserve">Zbog </w:t>
      </w:r>
      <w:r w:rsidR="00FC0DBB" w:rsidRPr="00703107">
        <w:t>povećanja</w:t>
      </w:r>
      <w:r w:rsidRPr="00703107">
        <w:t xml:space="preserve"> rashoda za materijal i dijelove za tekuće i investicijsko održavanje došlo je do </w:t>
      </w:r>
      <w:r w:rsidR="00FC0DBB" w:rsidRPr="00703107">
        <w:t>povećanja</w:t>
      </w:r>
      <w:r w:rsidRPr="00703107">
        <w:t xml:space="preserve"> u izvještajnom razdoblju.</w:t>
      </w:r>
    </w:p>
    <w:p w:rsidR="001447D1" w:rsidRPr="00703107" w:rsidRDefault="001447D1">
      <w:pPr>
        <w:pStyle w:val="Standard"/>
        <w:jc w:val="both"/>
      </w:pPr>
      <w:r w:rsidRPr="00703107">
        <w:t>(AOP 171) sitni inventar i auto gume izvršeni su u iznosu od 2.025 kn ili 150,0 u odnosu na ostvarenje prethodne godine.</w:t>
      </w:r>
    </w:p>
    <w:p w:rsidR="00606EB2" w:rsidRPr="00703107" w:rsidRDefault="00967FD0">
      <w:pPr>
        <w:pStyle w:val="Standard"/>
        <w:jc w:val="both"/>
      </w:pPr>
      <w:r w:rsidRPr="00703107">
        <w:t>Zbog nabavke novih zastava</w:t>
      </w:r>
      <w:r w:rsidR="00681A28" w:rsidRPr="00703107">
        <w:t xml:space="preserve"> u izvještajnom razdoblju</w:t>
      </w:r>
      <w:r w:rsidRPr="00703107">
        <w:t xml:space="preserve"> došlo je do iskaznog povećanja.</w:t>
      </w:r>
    </w:p>
    <w:p w:rsidR="00967FD0" w:rsidRPr="00703107" w:rsidRDefault="00967FD0">
      <w:pPr>
        <w:pStyle w:val="Standard"/>
        <w:jc w:val="both"/>
      </w:pPr>
    </w:p>
    <w:p w:rsidR="00606EB2" w:rsidRPr="00703107" w:rsidRDefault="001436E7">
      <w:pPr>
        <w:pStyle w:val="Standard"/>
        <w:jc w:val="both"/>
      </w:pPr>
      <w:r w:rsidRPr="00703107">
        <w:rPr>
          <w:b/>
        </w:rPr>
        <w:t>Unutar podskupine rashoda za usluge (AOP 174) odstupanje bilježi</w:t>
      </w:r>
      <w:r w:rsidRPr="00703107">
        <w:t>:</w:t>
      </w:r>
    </w:p>
    <w:p w:rsidR="00606EB2" w:rsidRPr="00703107" w:rsidRDefault="001436E7">
      <w:pPr>
        <w:pStyle w:val="Standard"/>
        <w:jc w:val="both"/>
      </w:pPr>
      <w:r w:rsidRPr="00703107">
        <w:t>(AOP 175) rashod</w:t>
      </w:r>
      <w:r w:rsidR="00FF7BF3" w:rsidRPr="00703107">
        <w:t>i</w:t>
      </w:r>
      <w:r w:rsidRPr="00703107">
        <w:t xml:space="preserve"> za  usluge telefona, pošte i pr</w:t>
      </w:r>
      <w:r w:rsidR="000566AD" w:rsidRPr="00703107">
        <w:t xml:space="preserve">ijevoza izvršeni su u iznosu od </w:t>
      </w:r>
      <w:r w:rsidR="00F61DC0" w:rsidRPr="00703107">
        <w:t>5.043</w:t>
      </w:r>
      <w:r w:rsidRPr="00703107">
        <w:t xml:space="preserve"> kn ili </w:t>
      </w:r>
      <w:r w:rsidR="00F61DC0" w:rsidRPr="00703107">
        <w:t>122,1</w:t>
      </w:r>
      <w:r w:rsidR="008902B7" w:rsidRPr="00703107">
        <w:t xml:space="preserve"> </w:t>
      </w:r>
      <w:r w:rsidRPr="00703107">
        <w:t xml:space="preserve"> % u odnosu na ostvarenje prethodne godine.</w:t>
      </w:r>
    </w:p>
    <w:p w:rsidR="00E54C5D" w:rsidRPr="00703107" w:rsidRDefault="00E54C5D">
      <w:pPr>
        <w:pStyle w:val="Standard"/>
        <w:jc w:val="both"/>
      </w:pPr>
      <w:r w:rsidRPr="00703107">
        <w:t>Usluge telefona i telefaksa – troškovi su povećani a razlog povećanja je korištenje mobilnog telefona djelatnice koja obavlja terenske poslove u svrhu uspostave grobne evidencije.</w:t>
      </w:r>
    </w:p>
    <w:p w:rsidR="00CA4269" w:rsidRPr="00703107" w:rsidRDefault="00CA4269">
      <w:pPr>
        <w:pStyle w:val="Standard"/>
        <w:jc w:val="both"/>
      </w:pPr>
    </w:p>
    <w:p w:rsidR="00606EB2" w:rsidRPr="00703107" w:rsidRDefault="001436E7">
      <w:pPr>
        <w:pStyle w:val="Standard"/>
        <w:jc w:val="both"/>
      </w:pPr>
      <w:r w:rsidRPr="00703107">
        <w:t xml:space="preserve">(AOP 176) rashodi za usluge tekućeg i investicijskog održavanja izvršeni su u iznosu od </w:t>
      </w:r>
      <w:r w:rsidR="00027E5F" w:rsidRPr="00703107">
        <w:t>54.609</w:t>
      </w:r>
      <w:r w:rsidRPr="00703107">
        <w:t xml:space="preserve"> kn ili </w:t>
      </w:r>
      <w:r w:rsidR="00027E5F" w:rsidRPr="00703107">
        <w:t>1.121,6</w:t>
      </w:r>
      <w:r w:rsidR="007D7C0E" w:rsidRPr="00703107">
        <w:t xml:space="preserve"> %</w:t>
      </w:r>
      <w:r w:rsidRPr="00703107">
        <w:t xml:space="preserve"> u odnosu na ostvarenje prethodne godine.</w:t>
      </w:r>
    </w:p>
    <w:p w:rsidR="00D61A37" w:rsidRPr="00703107" w:rsidRDefault="00AF1B1B">
      <w:pPr>
        <w:pStyle w:val="Standard"/>
        <w:jc w:val="both"/>
      </w:pPr>
      <w:r w:rsidRPr="00703107">
        <w:t xml:space="preserve">Do </w:t>
      </w:r>
      <w:r w:rsidR="004670F9" w:rsidRPr="00703107">
        <w:t>povećanja</w:t>
      </w:r>
      <w:r w:rsidRPr="00703107">
        <w:t xml:space="preserve"> je došlo zbog </w:t>
      </w:r>
      <w:r w:rsidR="004670F9" w:rsidRPr="00703107">
        <w:t xml:space="preserve">povećanih rashoda za </w:t>
      </w:r>
      <w:r w:rsidRPr="00703107">
        <w:t xml:space="preserve"> uslug</w:t>
      </w:r>
      <w:r w:rsidR="001105A2" w:rsidRPr="00703107">
        <w:t>e</w:t>
      </w:r>
      <w:r w:rsidRPr="00703107">
        <w:t xml:space="preserve"> tekuć</w:t>
      </w:r>
      <w:r w:rsidR="00817E09" w:rsidRPr="00703107">
        <w:t xml:space="preserve">eg i investicijskog održavanja </w:t>
      </w:r>
      <w:r w:rsidRPr="00703107">
        <w:t xml:space="preserve"> a odnos</w:t>
      </w:r>
      <w:r w:rsidR="00D17A79" w:rsidRPr="00703107">
        <w:t>e</w:t>
      </w:r>
      <w:r w:rsidRPr="00703107">
        <w:t xml:space="preserve"> se na </w:t>
      </w:r>
      <w:r w:rsidR="001105A2" w:rsidRPr="00703107">
        <w:t xml:space="preserve">usluge tekućeg i investicijskog </w:t>
      </w:r>
      <w:r w:rsidRPr="00703107">
        <w:t>održavanj</w:t>
      </w:r>
      <w:r w:rsidR="001105A2" w:rsidRPr="00703107">
        <w:t>a</w:t>
      </w:r>
      <w:r w:rsidRPr="00703107">
        <w:t xml:space="preserve"> </w:t>
      </w:r>
      <w:r w:rsidR="001105A2" w:rsidRPr="00703107">
        <w:t xml:space="preserve">građevinskih objekata (grobne kuće na groblju, postrojenja i opreme) te ostalih usluga tekućeg i investicijskog održavanja (radovi bojanja zidova </w:t>
      </w:r>
      <w:r w:rsidR="00DE6736" w:rsidRPr="00703107">
        <w:t xml:space="preserve">na grobnoj kući i  održavanje nerazvrstanih cesta i puteva). </w:t>
      </w:r>
    </w:p>
    <w:p w:rsidR="00DE6736" w:rsidRPr="00703107" w:rsidRDefault="00DE6736">
      <w:pPr>
        <w:pStyle w:val="Standard"/>
        <w:jc w:val="both"/>
      </w:pPr>
    </w:p>
    <w:p w:rsidR="00606EB2" w:rsidRPr="00703107" w:rsidRDefault="001436E7">
      <w:pPr>
        <w:pStyle w:val="Standard"/>
        <w:jc w:val="both"/>
      </w:pPr>
      <w:r w:rsidRPr="00703107">
        <w:t xml:space="preserve">(AOP 177) rashodi za usluge promidžbe i informiranja izvršeni su u iznosu od </w:t>
      </w:r>
      <w:r w:rsidR="002254CE" w:rsidRPr="00703107">
        <w:t>22.907</w:t>
      </w:r>
      <w:r w:rsidRPr="00703107">
        <w:t xml:space="preserve"> kn ili </w:t>
      </w:r>
      <w:r w:rsidR="0099367A" w:rsidRPr="00703107">
        <w:t>92,1</w:t>
      </w:r>
      <w:r w:rsidRPr="00703107">
        <w:t xml:space="preserve"> % u odnosu na ostvarenje prethodne godine.</w:t>
      </w:r>
    </w:p>
    <w:p w:rsidR="00D61A37" w:rsidRPr="003E6057" w:rsidRDefault="009C5080">
      <w:pPr>
        <w:pStyle w:val="Standard"/>
        <w:jc w:val="both"/>
      </w:pPr>
      <w:r w:rsidRPr="00703107">
        <w:t xml:space="preserve">Zbog </w:t>
      </w:r>
      <w:r w:rsidR="00A9217B" w:rsidRPr="00703107">
        <w:t xml:space="preserve">većih troškova </w:t>
      </w:r>
      <w:r w:rsidR="00360A50" w:rsidRPr="00703107">
        <w:t xml:space="preserve">elektronskih medija i </w:t>
      </w:r>
      <w:r w:rsidR="00A9217B" w:rsidRPr="00703107">
        <w:t>ostalih usluga promidžbe i informiranja</w:t>
      </w:r>
      <w:r w:rsidRPr="00703107">
        <w:t xml:space="preserve"> došlo je do iskazanog povećanja.</w:t>
      </w:r>
    </w:p>
    <w:p w:rsidR="00276E56" w:rsidRPr="003E6057" w:rsidRDefault="00276E56">
      <w:pPr>
        <w:pStyle w:val="Standard"/>
        <w:jc w:val="both"/>
      </w:pPr>
    </w:p>
    <w:p w:rsidR="00FF7BF3" w:rsidRPr="00703107" w:rsidRDefault="001436E7">
      <w:pPr>
        <w:pStyle w:val="Standard"/>
        <w:jc w:val="both"/>
      </w:pPr>
      <w:r w:rsidRPr="00703107">
        <w:lastRenderedPageBreak/>
        <w:t xml:space="preserve">(AOP 180) rashodi za zdravstvene i veterinarske usluge izvršeni su u iznosu od </w:t>
      </w:r>
      <w:r w:rsidR="006A2C5D" w:rsidRPr="00703107">
        <w:t>220</w:t>
      </w:r>
      <w:r w:rsidRPr="00703107">
        <w:t xml:space="preserve"> kn ili </w:t>
      </w:r>
      <w:r w:rsidR="006A2C5D" w:rsidRPr="00703107">
        <w:t>1,0</w:t>
      </w:r>
      <w:r w:rsidRPr="00703107">
        <w:t xml:space="preserve"> % u odnosu</w:t>
      </w:r>
      <w:r w:rsidR="009B6A54" w:rsidRPr="00703107">
        <w:t xml:space="preserve"> na ostvarenje prethodne godine</w:t>
      </w:r>
      <w:r w:rsidR="00FF7BF3" w:rsidRPr="00703107">
        <w:t>.</w:t>
      </w:r>
    </w:p>
    <w:p w:rsidR="00606EB2" w:rsidRPr="00703107" w:rsidRDefault="00FF7BF3">
      <w:pPr>
        <w:pStyle w:val="Standard"/>
        <w:jc w:val="both"/>
      </w:pPr>
      <w:r w:rsidRPr="00703107">
        <w:t>Do</w:t>
      </w:r>
      <w:r w:rsidR="006A2C5D" w:rsidRPr="00703107">
        <w:t xml:space="preserve"> smanjenja </w:t>
      </w:r>
      <w:r w:rsidRPr="00703107">
        <w:t xml:space="preserve"> je došlo</w:t>
      </w:r>
      <w:r w:rsidR="00452817" w:rsidRPr="00703107">
        <w:t xml:space="preserve"> jer u izvještajnom razdoblju nije bilo troškova vezano za zbrinjavanje napuštenih životinja.</w:t>
      </w:r>
    </w:p>
    <w:p w:rsidR="00FF7BF3" w:rsidRPr="00703107" w:rsidRDefault="001436E7">
      <w:pPr>
        <w:pStyle w:val="Standard"/>
        <w:jc w:val="both"/>
      </w:pPr>
      <w:r w:rsidRPr="00703107">
        <w:t xml:space="preserve">(AOP 181) rashodi za intelektualne i osobne usluge izvršeni su u iznosu od </w:t>
      </w:r>
      <w:r w:rsidR="008B17DE" w:rsidRPr="00703107">
        <w:t>22.733</w:t>
      </w:r>
      <w:r w:rsidRPr="00703107">
        <w:t xml:space="preserve"> kn ili </w:t>
      </w:r>
      <w:r w:rsidR="00964261" w:rsidRPr="00703107">
        <w:t>8</w:t>
      </w:r>
      <w:r w:rsidR="008B17DE" w:rsidRPr="00703107">
        <w:t>3</w:t>
      </w:r>
      <w:r w:rsidR="00964261" w:rsidRPr="00703107">
        <w:t>,</w:t>
      </w:r>
      <w:r w:rsidR="008B17DE" w:rsidRPr="00703107">
        <w:t>8</w:t>
      </w:r>
      <w:r w:rsidRPr="00703107">
        <w:t xml:space="preserve"> % u odnosu na ostvarenje prethodne godine.</w:t>
      </w:r>
    </w:p>
    <w:p w:rsidR="00F46B91" w:rsidRPr="00703107" w:rsidRDefault="00F80E83">
      <w:pPr>
        <w:pStyle w:val="Standard"/>
        <w:jc w:val="both"/>
      </w:pPr>
      <w:r w:rsidRPr="00703107">
        <w:t>Do smanjenja je došlo zbog smanjenja</w:t>
      </w:r>
      <w:r w:rsidR="00F46B91" w:rsidRPr="00703107">
        <w:t xml:space="preserve"> rashoda za usluge, prvenstveno za ostale intelektualne usluge</w:t>
      </w:r>
      <w:r w:rsidR="00E02BFE" w:rsidRPr="00703107">
        <w:t xml:space="preserve"> i usluge odvjetnika i pravnog savjetovanja.</w:t>
      </w:r>
    </w:p>
    <w:p w:rsidR="00606EB2" w:rsidRPr="00703107" w:rsidRDefault="001436E7">
      <w:pPr>
        <w:pStyle w:val="Standard"/>
        <w:jc w:val="both"/>
      </w:pPr>
      <w:r w:rsidRPr="00703107">
        <w:t xml:space="preserve">(AOP 182) rashodi za računalne usluge izvršeni su u iznosu od </w:t>
      </w:r>
      <w:r w:rsidR="005A07F8" w:rsidRPr="00703107">
        <w:t>10.415</w:t>
      </w:r>
      <w:r w:rsidR="005214FB" w:rsidRPr="00703107">
        <w:t xml:space="preserve"> kn ili 1</w:t>
      </w:r>
      <w:r w:rsidR="00197DF9" w:rsidRPr="00703107">
        <w:t>20,5</w:t>
      </w:r>
      <w:r w:rsidRPr="00703107">
        <w:t xml:space="preserve"> % u odnosu na ostvarenje prethodne godine.</w:t>
      </w:r>
    </w:p>
    <w:p w:rsidR="00DA3403" w:rsidRPr="00703107" w:rsidRDefault="00512831">
      <w:pPr>
        <w:pStyle w:val="Standard"/>
        <w:jc w:val="both"/>
      </w:pPr>
      <w:r w:rsidRPr="00703107">
        <w:t>Do iskaznog povećanja je došlo radi manjeg po</w:t>
      </w:r>
      <w:r w:rsidR="00114A88" w:rsidRPr="00703107">
        <w:t>većanja rashoda za računalne usluge.</w:t>
      </w:r>
    </w:p>
    <w:p w:rsidR="00512831" w:rsidRPr="00703107" w:rsidRDefault="001436E7">
      <w:pPr>
        <w:pStyle w:val="Standard"/>
        <w:jc w:val="both"/>
      </w:pPr>
      <w:r w:rsidRPr="00703107">
        <w:t xml:space="preserve">(AOP 183) rashodi za ostale usluge izvršeni su u iznosu od </w:t>
      </w:r>
      <w:r w:rsidR="00E802B6" w:rsidRPr="00703107">
        <w:t>27.568</w:t>
      </w:r>
      <w:r w:rsidR="006A06DE" w:rsidRPr="00703107">
        <w:t xml:space="preserve"> kn ili </w:t>
      </w:r>
      <w:r w:rsidR="00E802B6" w:rsidRPr="00703107">
        <w:t>212,1</w:t>
      </w:r>
      <w:r w:rsidRPr="00703107">
        <w:t xml:space="preserve"> % u odnosu na ostvarenje prethodne godine.</w:t>
      </w:r>
    </w:p>
    <w:p w:rsidR="00606EB2" w:rsidRPr="00703107" w:rsidRDefault="004B3AC2">
      <w:pPr>
        <w:pStyle w:val="Standard"/>
        <w:jc w:val="both"/>
      </w:pPr>
      <w:r w:rsidRPr="00703107">
        <w:t xml:space="preserve">Do iskaznog </w:t>
      </w:r>
      <w:r w:rsidR="00114A88" w:rsidRPr="00703107">
        <w:t>povećanja</w:t>
      </w:r>
      <w:r w:rsidRPr="00703107">
        <w:t xml:space="preserve"> u </w:t>
      </w:r>
      <w:r w:rsidR="005A07F8" w:rsidRPr="00703107">
        <w:t>izvještajnom razdoblju</w:t>
      </w:r>
      <w:r w:rsidRPr="00703107">
        <w:t xml:space="preserve"> je došlo</w:t>
      </w:r>
      <w:r w:rsidR="00114A88" w:rsidRPr="00703107">
        <w:t xml:space="preserve"> radi </w:t>
      </w:r>
      <w:r w:rsidRPr="00703107">
        <w:t xml:space="preserve">  nastalih veći</w:t>
      </w:r>
      <w:r w:rsidR="00114A88" w:rsidRPr="00703107">
        <w:t>h</w:t>
      </w:r>
      <w:r w:rsidRPr="00703107">
        <w:t xml:space="preserve"> troškov</w:t>
      </w:r>
      <w:r w:rsidR="00114A88" w:rsidRPr="00703107">
        <w:t>a ostalih nespomenutih usluga (naplata 1 % pr</w:t>
      </w:r>
      <w:r w:rsidR="005A07F8" w:rsidRPr="00703107">
        <w:t>i</w:t>
      </w:r>
      <w:r w:rsidR="00114A88" w:rsidRPr="00703107">
        <w:t>hoda od poreza i prireza na dohodak) te većih rashoda za refundaciju troškova plaće za poljoprivredno-komunalno gospodarstvo).</w:t>
      </w:r>
    </w:p>
    <w:p w:rsidR="004B3AC2" w:rsidRPr="00703107" w:rsidRDefault="004B3AC2">
      <w:pPr>
        <w:pStyle w:val="Standard"/>
        <w:jc w:val="both"/>
        <w:rPr>
          <w:rFonts w:ascii="Arial" w:hAnsi="Arial"/>
        </w:rPr>
      </w:pPr>
    </w:p>
    <w:p w:rsidR="00E0185B" w:rsidRPr="00703107" w:rsidRDefault="001436E7" w:rsidP="00217B5E">
      <w:pPr>
        <w:pStyle w:val="Standard"/>
        <w:jc w:val="both"/>
        <w:rPr>
          <w:b/>
        </w:rPr>
      </w:pPr>
      <w:bookmarkStart w:id="0" w:name="_Hlk32581637"/>
      <w:r w:rsidRPr="00703107">
        <w:rPr>
          <w:b/>
        </w:rPr>
        <w:t>Unutar podskupine ostalih nespomenutih rashoda (AOP 185) odstupanje bilježi:</w:t>
      </w:r>
      <w:bookmarkEnd w:id="0"/>
    </w:p>
    <w:p w:rsidR="00606EB2" w:rsidRPr="00703107" w:rsidRDefault="001436E7">
      <w:pPr>
        <w:pStyle w:val="Standard"/>
        <w:jc w:val="both"/>
      </w:pPr>
      <w:r w:rsidRPr="00703107">
        <w:t>(AOP 189) rashodi za članarine i</w:t>
      </w:r>
      <w:r w:rsidR="00142425" w:rsidRPr="00703107">
        <w:t xml:space="preserve"> norme izvršeni su u iznosu od </w:t>
      </w:r>
      <w:r w:rsidR="00217B5E" w:rsidRPr="00703107">
        <w:t>34</w:t>
      </w:r>
      <w:r w:rsidR="00E07086" w:rsidRPr="00703107">
        <w:t>.</w:t>
      </w:r>
      <w:r w:rsidR="00217B5E" w:rsidRPr="00703107">
        <w:t>159</w:t>
      </w:r>
      <w:r w:rsidRPr="00703107">
        <w:t xml:space="preserve"> kn ili </w:t>
      </w:r>
      <w:r w:rsidR="00217B5E" w:rsidRPr="00703107">
        <w:t>238.9</w:t>
      </w:r>
      <w:r w:rsidRPr="00703107">
        <w:t xml:space="preserve"> % u odnosu ostvarenje prethodne godine.</w:t>
      </w:r>
    </w:p>
    <w:p w:rsidR="00FE5F38" w:rsidRPr="00703107" w:rsidRDefault="00FE5F38">
      <w:pPr>
        <w:pStyle w:val="Standard"/>
        <w:jc w:val="both"/>
      </w:pPr>
      <w:r w:rsidRPr="00703107">
        <w:t>U izvještajnom razdoblju troškov</w:t>
      </w:r>
      <w:r w:rsidR="00CF70DD" w:rsidRPr="00703107">
        <w:t>i su povećani radi sufinanciranja</w:t>
      </w:r>
      <w:r w:rsidRPr="00703107">
        <w:t xml:space="preserve"> članarin</w:t>
      </w:r>
      <w:r w:rsidR="00217B5E" w:rsidRPr="00703107">
        <w:t xml:space="preserve">e za LAG </w:t>
      </w:r>
      <w:r w:rsidR="008D3A2A" w:rsidRPr="00703107">
        <w:t xml:space="preserve">– Izvor </w:t>
      </w:r>
      <w:r w:rsidR="00217B5E" w:rsidRPr="00703107">
        <w:t>Ludbreg.</w:t>
      </w:r>
    </w:p>
    <w:p w:rsidR="00217B5E" w:rsidRPr="00703107" w:rsidRDefault="00217B5E">
      <w:pPr>
        <w:pStyle w:val="Standard"/>
        <w:jc w:val="both"/>
      </w:pPr>
    </w:p>
    <w:p w:rsidR="00606EB2" w:rsidRPr="0070310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03107">
        <w:rPr>
          <w:b/>
          <w:bCs/>
          <w:sz w:val="26"/>
          <w:szCs w:val="26"/>
        </w:rPr>
        <w:t>AOP 193  Financijski rashodi</w:t>
      </w:r>
    </w:p>
    <w:p w:rsidR="00606EB2" w:rsidRPr="00703107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70310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Indeks</w:t>
            </w:r>
          </w:p>
        </w:tc>
      </w:tr>
      <w:tr w:rsidR="00606EB2" w:rsidRPr="0070310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2468C4" w:rsidP="00B469ED">
            <w:pPr>
              <w:pStyle w:val="TableContents"/>
              <w:jc w:val="center"/>
            </w:pPr>
            <w:r w:rsidRPr="00703107">
              <w:t>798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2468C4">
            <w:pPr>
              <w:pStyle w:val="TableContents"/>
              <w:jc w:val="center"/>
            </w:pPr>
            <w:r w:rsidRPr="00703107">
              <w:t>1.446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2468C4">
            <w:pPr>
              <w:pStyle w:val="TableContents"/>
              <w:jc w:val="center"/>
            </w:pPr>
            <w:r w:rsidRPr="00703107">
              <w:t>181,2</w:t>
            </w:r>
          </w:p>
        </w:tc>
      </w:tr>
    </w:tbl>
    <w:p w:rsidR="00606EB2" w:rsidRPr="00703107" w:rsidRDefault="00606EB2" w:rsidP="00B567EB">
      <w:pPr>
        <w:pStyle w:val="Standard"/>
        <w:jc w:val="both"/>
        <w:rPr>
          <w:rFonts w:ascii="Arial" w:hAnsi="Arial"/>
        </w:rPr>
      </w:pPr>
    </w:p>
    <w:p w:rsidR="00B567EB" w:rsidRPr="003E6057" w:rsidRDefault="008D0DA0" w:rsidP="000F64F1">
      <w:pPr>
        <w:pStyle w:val="Standard"/>
        <w:jc w:val="both"/>
        <w:rPr>
          <w:b/>
          <w:bCs/>
          <w:sz w:val="26"/>
          <w:szCs w:val="26"/>
        </w:rPr>
      </w:pPr>
      <w:r w:rsidRPr="00703107">
        <w:t>Do</w:t>
      </w:r>
      <w:r w:rsidR="001436E7" w:rsidRPr="00703107">
        <w:t xml:space="preserve"> </w:t>
      </w:r>
      <w:r w:rsidR="000F09B8" w:rsidRPr="00703107">
        <w:t xml:space="preserve">povećanja </w:t>
      </w:r>
      <w:r w:rsidR="001436E7" w:rsidRPr="00703107">
        <w:t xml:space="preserve">je došlo radi </w:t>
      </w:r>
      <w:r w:rsidR="009E2A4C" w:rsidRPr="00703107">
        <w:t>povećanih troškova usluga banaka i platnog prometa.</w:t>
      </w:r>
    </w:p>
    <w:p w:rsidR="00B567EB" w:rsidRPr="003E6057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Pr="003E6057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221 Pomoći dana u inozemstvo i unutar općeg proračuna</w:t>
      </w:r>
    </w:p>
    <w:p w:rsidR="00606EB2" w:rsidRPr="003E6057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082229">
            <w:pPr>
              <w:pStyle w:val="TableContents"/>
              <w:jc w:val="center"/>
            </w:pPr>
            <w:r>
              <w:t>81.660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082229" w:rsidP="00317D4E">
            <w:pPr>
              <w:pStyle w:val="TableContents"/>
              <w:jc w:val="center"/>
            </w:pPr>
            <w:r>
              <w:t>53.700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082229" w:rsidP="00F65064">
            <w:pPr>
              <w:pStyle w:val="TableContents"/>
              <w:jc w:val="center"/>
            </w:pPr>
            <w:r>
              <w:t>65,8</w:t>
            </w:r>
          </w:p>
        </w:tc>
      </w:tr>
    </w:tbl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8358CA" w:rsidRPr="00703107" w:rsidRDefault="001436E7" w:rsidP="008358CA">
      <w:pPr>
        <w:pStyle w:val="Standard"/>
        <w:ind w:left="540" w:hanging="540"/>
        <w:jc w:val="both"/>
        <w:rPr>
          <w:bCs/>
        </w:rPr>
      </w:pPr>
      <w:r w:rsidRPr="00703107">
        <w:rPr>
          <w:bCs/>
        </w:rPr>
        <w:t xml:space="preserve">Do  </w:t>
      </w:r>
      <w:r w:rsidR="008358CA" w:rsidRPr="00703107">
        <w:rPr>
          <w:bCs/>
        </w:rPr>
        <w:t xml:space="preserve">smanjenja u </w:t>
      </w:r>
      <w:r w:rsidRPr="00703107">
        <w:rPr>
          <w:bCs/>
        </w:rPr>
        <w:t xml:space="preserve"> izvještajnom razdoblju je došlo radi</w:t>
      </w:r>
      <w:r w:rsidR="00AD788A" w:rsidRPr="00703107">
        <w:rPr>
          <w:bCs/>
        </w:rPr>
        <w:t xml:space="preserve"> </w:t>
      </w:r>
      <w:r w:rsidR="00082229" w:rsidRPr="00703107">
        <w:rPr>
          <w:bCs/>
        </w:rPr>
        <w:t>smanjenog obračuna</w:t>
      </w:r>
      <w:r w:rsidR="00AD788A" w:rsidRPr="00703107">
        <w:rPr>
          <w:bCs/>
        </w:rPr>
        <w:t xml:space="preserve"> tro</w:t>
      </w:r>
      <w:r w:rsidR="008358CA" w:rsidRPr="00703107">
        <w:rPr>
          <w:bCs/>
        </w:rPr>
        <w:t xml:space="preserve">škova </w:t>
      </w:r>
    </w:p>
    <w:p w:rsidR="008358CA" w:rsidRPr="00703107" w:rsidRDefault="001436E7" w:rsidP="008358CA">
      <w:pPr>
        <w:pStyle w:val="Standard"/>
        <w:ind w:left="540" w:hanging="540"/>
        <w:jc w:val="both"/>
        <w:rPr>
          <w:bCs/>
        </w:rPr>
      </w:pPr>
      <w:r w:rsidRPr="00703107">
        <w:rPr>
          <w:bCs/>
        </w:rPr>
        <w:t>organizacij</w:t>
      </w:r>
      <w:r w:rsidR="008358CA" w:rsidRPr="00703107">
        <w:rPr>
          <w:bCs/>
        </w:rPr>
        <w:t xml:space="preserve">e </w:t>
      </w:r>
      <w:r w:rsidRPr="00703107">
        <w:rPr>
          <w:bCs/>
        </w:rPr>
        <w:t>predškolskog odgoja</w:t>
      </w:r>
      <w:r w:rsidR="00AD788A" w:rsidRPr="00703107">
        <w:rPr>
          <w:bCs/>
        </w:rPr>
        <w:t xml:space="preserve"> </w:t>
      </w:r>
      <w:r w:rsidRPr="00703107">
        <w:rPr>
          <w:bCs/>
        </w:rPr>
        <w:t xml:space="preserve">u dječjem vrtiću „Krijesnica“ Podružnica Veliki Bukovec – </w:t>
      </w:r>
    </w:p>
    <w:p w:rsidR="00606EB2" w:rsidRPr="003E6057" w:rsidRDefault="001436E7" w:rsidP="008358CA">
      <w:pPr>
        <w:pStyle w:val="Standard"/>
        <w:ind w:left="540" w:hanging="540"/>
        <w:jc w:val="both"/>
        <w:rPr>
          <w:bCs/>
        </w:rPr>
      </w:pPr>
      <w:r w:rsidRPr="00703107">
        <w:rPr>
          <w:bCs/>
        </w:rPr>
        <w:t>prema Sporazumu.</w:t>
      </w:r>
    </w:p>
    <w:p w:rsidR="00606EB2" w:rsidRPr="003E6057" w:rsidRDefault="00606EB2">
      <w:pPr>
        <w:pStyle w:val="Standard"/>
        <w:jc w:val="both"/>
        <w:rPr>
          <w:b/>
          <w:bCs/>
          <w:sz w:val="26"/>
          <w:szCs w:val="26"/>
        </w:rPr>
      </w:pPr>
    </w:p>
    <w:p w:rsidR="00606EB2" w:rsidRPr="003E6057" w:rsidRDefault="009B725B" w:rsidP="006D255E">
      <w:pPr>
        <w:pStyle w:val="Standard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246 Naknade građanima i kućanstvima na temelju osiguranja i druge naknade</w:t>
      </w:r>
    </w:p>
    <w:p w:rsidR="00323C02" w:rsidRPr="003E6057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3E6057" w:rsidTr="008B7BBE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323C02" w:rsidRPr="003E6057" w:rsidTr="008B7BBE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0C7E4F" w:rsidP="008B7BBE">
            <w:pPr>
              <w:pStyle w:val="TableContents"/>
              <w:jc w:val="center"/>
            </w:pPr>
            <w:r>
              <w:t>46.417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0C7E4F" w:rsidP="008B7BBE">
            <w:pPr>
              <w:pStyle w:val="TableContents"/>
              <w:jc w:val="center"/>
            </w:pPr>
            <w:r>
              <w:t>31.956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7C9" w:rsidRPr="003E6057" w:rsidRDefault="000C7E4F" w:rsidP="009717C9">
            <w:pPr>
              <w:pStyle w:val="TableContents"/>
              <w:jc w:val="center"/>
            </w:pPr>
            <w:r>
              <w:t>68,8</w:t>
            </w:r>
          </w:p>
        </w:tc>
      </w:tr>
    </w:tbl>
    <w:p w:rsidR="009717C9" w:rsidRPr="003E6057" w:rsidRDefault="009717C9" w:rsidP="009717C9">
      <w:pPr>
        <w:pStyle w:val="Standard"/>
        <w:rPr>
          <w:b/>
          <w:bCs/>
        </w:rPr>
      </w:pPr>
    </w:p>
    <w:p w:rsidR="009717C9" w:rsidRPr="003E6057" w:rsidRDefault="009717C9" w:rsidP="009717C9">
      <w:pPr>
        <w:pStyle w:val="Standard"/>
        <w:rPr>
          <w:b/>
          <w:bCs/>
        </w:rPr>
      </w:pPr>
    </w:p>
    <w:p w:rsidR="00282246" w:rsidRPr="009D7755" w:rsidRDefault="00282246" w:rsidP="00076B84">
      <w:pPr>
        <w:pStyle w:val="Standard"/>
        <w:jc w:val="both"/>
      </w:pPr>
      <w:r w:rsidRPr="00703107">
        <w:t>Radi manjeg broja djece koja pohađaju vrtiće izvan općine došlo je do iskaznog smanjenja ra</w:t>
      </w:r>
      <w:r w:rsidR="00E128CD" w:rsidRPr="00703107">
        <w:t>shoda.</w:t>
      </w:r>
      <w:r w:rsidR="00E128CD">
        <w:t xml:space="preserve"> </w:t>
      </w:r>
    </w:p>
    <w:p w:rsidR="00323C02" w:rsidRPr="00282246" w:rsidRDefault="00323C02">
      <w:pPr>
        <w:pStyle w:val="Standard"/>
        <w:ind w:left="540" w:hanging="540"/>
        <w:jc w:val="both"/>
        <w:rPr>
          <w:sz w:val="26"/>
          <w:szCs w:val="26"/>
        </w:rPr>
      </w:pPr>
    </w:p>
    <w:p w:rsidR="008D2F57" w:rsidRPr="003E6057" w:rsidRDefault="008D2F57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257 Ostali rashodi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75092" w:rsidP="008D2F57">
            <w:pPr>
              <w:pStyle w:val="TableContents"/>
              <w:jc w:val="center"/>
            </w:pPr>
            <w:r>
              <w:t>112.577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75092" w:rsidP="006D255E">
            <w:pPr>
              <w:pStyle w:val="TableContents"/>
              <w:jc w:val="center"/>
            </w:pPr>
            <w:r>
              <w:t>45.927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75092">
            <w:pPr>
              <w:pStyle w:val="TableContents"/>
              <w:jc w:val="center"/>
            </w:pPr>
            <w:r>
              <w:t>40,8</w:t>
            </w:r>
          </w:p>
        </w:tc>
      </w:tr>
    </w:tbl>
    <w:p w:rsidR="009C2D40" w:rsidRPr="003E6057" w:rsidRDefault="009C2D40">
      <w:pPr>
        <w:pStyle w:val="Standard"/>
        <w:jc w:val="both"/>
        <w:rPr>
          <w:b/>
          <w:bCs/>
        </w:rPr>
      </w:pPr>
    </w:p>
    <w:p w:rsidR="00606EB2" w:rsidRPr="00703107" w:rsidRDefault="00E9251B">
      <w:pPr>
        <w:pStyle w:val="Standard"/>
        <w:jc w:val="both"/>
        <w:rPr>
          <w:bCs/>
          <w:color w:val="000000"/>
        </w:rPr>
      </w:pPr>
      <w:r w:rsidRPr="00703107">
        <w:rPr>
          <w:bCs/>
          <w:color w:val="000000"/>
        </w:rPr>
        <w:t>Radi manje isplaćenih donacija u izvještajnom razdoblju došlo je do iskazanog smanjenja.</w:t>
      </w:r>
    </w:p>
    <w:p w:rsidR="00606EB2" w:rsidRPr="00703107" w:rsidRDefault="00606EB2">
      <w:pPr>
        <w:pStyle w:val="Standard"/>
        <w:jc w:val="both"/>
        <w:rPr>
          <w:b/>
          <w:color w:val="000000"/>
        </w:rPr>
      </w:pPr>
    </w:p>
    <w:p w:rsidR="00606EB2" w:rsidRPr="00703107" w:rsidRDefault="00606EB2">
      <w:pPr>
        <w:pStyle w:val="Standard"/>
        <w:jc w:val="both"/>
        <w:rPr>
          <w:b/>
          <w:color w:val="000000"/>
        </w:rPr>
      </w:pPr>
    </w:p>
    <w:p w:rsidR="00606EB2" w:rsidRPr="00703107" w:rsidRDefault="001436E7">
      <w:pPr>
        <w:pStyle w:val="Standard"/>
        <w:jc w:val="both"/>
        <w:rPr>
          <w:b/>
          <w:color w:val="000000"/>
        </w:rPr>
      </w:pPr>
      <w:r w:rsidRPr="00703107">
        <w:rPr>
          <w:b/>
          <w:color w:val="000000"/>
        </w:rPr>
        <w:t>AOP 3</w:t>
      </w:r>
      <w:r w:rsidR="007F6D78" w:rsidRPr="00703107">
        <w:rPr>
          <w:b/>
          <w:color w:val="000000"/>
        </w:rPr>
        <w:t>54</w:t>
      </w:r>
      <w:r w:rsidRPr="00703107">
        <w:rPr>
          <w:b/>
          <w:color w:val="000000"/>
        </w:rPr>
        <w:t xml:space="preserve"> Rashodi za nabavu proizvedene dugotrajne imovine</w:t>
      </w:r>
    </w:p>
    <w:p w:rsidR="00606EB2" w:rsidRPr="00703107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70310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Indeks</w:t>
            </w:r>
          </w:p>
        </w:tc>
      </w:tr>
      <w:tr w:rsidR="00606EB2" w:rsidRPr="0070310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2D534F">
            <w:pPr>
              <w:pStyle w:val="TableContents"/>
              <w:jc w:val="center"/>
            </w:pPr>
            <w:r w:rsidRPr="00703107">
              <w:t>268.933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2D534F">
            <w:pPr>
              <w:pStyle w:val="TableContents"/>
              <w:jc w:val="center"/>
            </w:pPr>
            <w:r w:rsidRPr="00703107">
              <w:t>64.979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2D534F">
            <w:pPr>
              <w:pStyle w:val="TableContents"/>
              <w:jc w:val="center"/>
            </w:pPr>
            <w:r w:rsidRPr="00703107">
              <w:t>24,2</w:t>
            </w:r>
          </w:p>
        </w:tc>
      </w:tr>
    </w:tbl>
    <w:p w:rsidR="00606EB2" w:rsidRPr="0070310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17FFD" w:rsidRPr="00703107" w:rsidRDefault="00B17FFD" w:rsidP="00B17FFD">
      <w:pPr>
        <w:pStyle w:val="Standard"/>
        <w:jc w:val="both"/>
        <w:rPr>
          <w:b/>
        </w:rPr>
      </w:pPr>
      <w:r w:rsidRPr="00703107">
        <w:rPr>
          <w:b/>
        </w:rPr>
        <w:t>Unutar podskupine ostalih nespomenutih rashoda (AOP 360) odstupanje bilježi:</w:t>
      </w:r>
    </w:p>
    <w:p w:rsidR="007F6D78" w:rsidRPr="00703107" w:rsidRDefault="007F6D78">
      <w:pPr>
        <w:pStyle w:val="Standard"/>
        <w:ind w:left="540" w:hanging="540"/>
        <w:jc w:val="both"/>
        <w:rPr>
          <w:sz w:val="26"/>
          <w:szCs w:val="26"/>
        </w:rPr>
      </w:pPr>
    </w:p>
    <w:p w:rsidR="0094028B" w:rsidRPr="00703107" w:rsidRDefault="005A4B88" w:rsidP="00B17FFD">
      <w:pPr>
        <w:pStyle w:val="Standard"/>
        <w:ind w:left="540" w:hanging="540"/>
      </w:pPr>
      <w:r w:rsidRPr="00703107">
        <w:t>(AOP 36</w:t>
      </w:r>
      <w:r w:rsidR="00B17FFD" w:rsidRPr="00703107">
        <w:t>7</w:t>
      </w:r>
      <w:r w:rsidRPr="00703107">
        <w:t xml:space="preserve">) rashodi za </w:t>
      </w:r>
      <w:r w:rsidR="00B17FFD" w:rsidRPr="00703107">
        <w:t>uređaje, strojeve i opremu za ostale namjene</w:t>
      </w:r>
      <w:r w:rsidRPr="00703107">
        <w:t xml:space="preserve"> izv</w:t>
      </w:r>
      <w:r w:rsidR="00714D0D" w:rsidRPr="00703107">
        <w:t>r</w:t>
      </w:r>
      <w:r w:rsidRPr="00703107">
        <w:t>šeni su  u iznos</w:t>
      </w:r>
      <w:r w:rsidR="00B17FFD" w:rsidRPr="00703107">
        <w:t xml:space="preserve">u od </w:t>
      </w:r>
    </w:p>
    <w:p w:rsidR="00606EB2" w:rsidRPr="00703107" w:rsidRDefault="002D534F" w:rsidP="000A1E08">
      <w:pPr>
        <w:pStyle w:val="Standard"/>
        <w:ind w:left="540" w:hanging="540"/>
      </w:pPr>
      <w:r w:rsidRPr="00703107">
        <w:t xml:space="preserve">33.589 </w:t>
      </w:r>
      <w:r w:rsidR="005A4B88" w:rsidRPr="00703107">
        <w:t xml:space="preserve">kn ili </w:t>
      </w:r>
      <w:r w:rsidRPr="00703107">
        <w:t>15,7</w:t>
      </w:r>
      <w:r w:rsidR="00B17FFD" w:rsidRPr="00703107">
        <w:t xml:space="preserve"> </w:t>
      </w:r>
      <w:r w:rsidR="005A4B88" w:rsidRPr="00703107">
        <w:t xml:space="preserve"> % </w:t>
      </w:r>
      <w:r w:rsidR="00AE72D0" w:rsidRPr="00703107">
        <w:t xml:space="preserve"> </w:t>
      </w:r>
      <w:proofErr w:type="spellStart"/>
      <w:r w:rsidR="00AE72D0" w:rsidRPr="00703107">
        <w:t>usljed</w:t>
      </w:r>
      <w:proofErr w:type="spellEnd"/>
      <w:r w:rsidR="00AE72D0" w:rsidRPr="00703107">
        <w:t xml:space="preserve"> smanjene nabave</w:t>
      </w:r>
      <w:r w:rsidR="00BF33A2" w:rsidRPr="00703107">
        <w:t xml:space="preserve"> u izvještajnom razdoblju.</w:t>
      </w:r>
    </w:p>
    <w:p w:rsidR="00606EB2" w:rsidRPr="00703107" w:rsidRDefault="00606EB2">
      <w:pPr>
        <w:pStyle w:val="Standard"/>
        <w:jc w:val="both"/>
      </w:pPr>
    </w:p>
    <w:p w:rsidR="00C500B9" w:rsidRPr="00703107" w:rsidRDefault="00C500B9">
      <w:pPr>
        <w:pStyle w:val="Standard"/>
        <w:jc w:val="both"/>
      </w:pPr>
    </w:p>
    <w:p w:rsidR="002541CB" w:rsidRPr="00703107" w:rsidRDefault="002541CB">
      <w:pPr>
        <w:pStyle w:val="Standard"/>
        <w:jc w:val="both"/>
        <w:rPr>
          <w:rFonts w:cs="Arial"/>
          <w:b/>
          <w:sz w:val="26"/>
          <w:szCs w:val="26"/>
        </w:rPr>
      </w:pPr>
    </w:p>
    <w:p w:rsidR="00606EB2" w:rsidRPr="00703107" w:rsidRDefault="001436E7">
      <w:pPr>
        <w:pStyle w:val="Standard"/>
        <w:jc w:val="both"/>
        <w:rPr>
          <w:rFonts w:cs="Arial"/>
          <w:b/>
          <w:sz w:val="26"/>
          <w:szCs w:val="26"/>
        </w:rPr>
      </w:pPr>
      <w:r w:rsidRPr="00703107">
        <w:rPr>
          <w:rFonts w:cs="Arial"/>
          <w:b/>
          <w:sz w:val="26"/>
          <w:szCs w:val="26"/>
        </w:rPr>
        <w:t>Bilješke - OBRAZAC OBVEZE</w:t>
      </w:r>
    </w:p>
    <w:p w:rsidR="00606EB2" w:rsidRPr="00703107" w:rsidRDefault="001436E7">
      <w:pPr>
        <w:pStyle w:val="Standard"/>
        <w:jc w:val="both"/>
      </w:pPr>
      <w:r w:rsidRPr="00703107">
        <w:rPr>
          <w:rFonts w:cs="Arial"/>
          <w:b/>
        </w:rPr>
        <w:t>AOP 001</w:t>
      </w:r>
      <w:r w:rsidRPr="00703107">
        <w:rPr>
          <w:rFonts w:cs="Arial"/>
        </w:rPr>
        <w:t xml:space="preserve"> Stanje obveza iskazno na dan 01.01.20</w:t>
      </w:r>
      <w:r w:rsidR="00EE2BF7" w:rsidRPr="00703107">
        <w:rPr>
          <w:rFonts w:cs="Arial"/>
        </w:rPr>
        <w:t>20</w:t>
      </w:r>
      <w:r w:rsidRPr="00703107">
        <w:rPr>
          <w:rFonts w:cs="Arial"/>
        </w:rPr>
        <w:t xml:space="preserve">. godine iznosi </w:t>
      </w:r>
      <w:r w:rsidR="00B448D8" w:rsidRPr="00703107">
        <w:rPr>
          <w:rFonts w:cs="Arial"/>
        </w:rPr>
        <w:t>2</w:t>
      </w:r>
      <w:r w:rsidR="00EE2BF7" w:rsidRPr="00703107">
        <w:rPr>
          <w:rFonts w:cs="Arial"/>
        </w:rPr>
        <w:t>16.289</w:t>
      </w:r>
      <w:r w:rsidRPr="00703107">
        <w:rPr>
          <w:rFonts w:cs="Arial"/>
        </w:rPr>
        <w:t xml:space="preserve"> kn. </w:t>
      </w:r>
    </w:p>
    <w:p w:rsidR="00E907CB" w:rsidRPr="00703107" w:rsidRDefault="001436E7">
      <w:pPr>
        <w:pStyle w:val="Standard"/>
        <w:jc w:val="both"/>
        <w:rPr>
          <w:rFonts w:cs="Arial"/>
        </w:rPr>
      </w:pPr>
      <w:r w:rsidRPr="00703107">
        <w:rPr>
          <w:rFonts w:cs="Arial"/>
          <w:b/>
        </w:rPr>
        <w:t>AOP 036</w:t>
      </w:r>
      <w:r w:rsidRPr="00703107">
        <w:rPr>
          <w:rFonts w:cs="Arial"/>
        </w:rPr>
        <w:t xml:space="preserve"> Stanje obveza na kraju izvještajnog razdoblja iznosi </w:t>
      </w:r>
      <w:r w:rsidR="00090510" w:rsidRPr="00703107">
        <w:rPr>
          <w:rFonts w:cs="Arial"/>
        </w:rPr>
        <w:t>79.108</w:t>
      </w:r>
      <w:r w:rsidRPr="00703107">
        <w:rPr>
          <w:rFonts w:cs="Arial"/>
        </w:rPr>
        <w:t xml:space="preserve"> kn a odnosi se na </w:t>
      </w:r>
    </w:p>
    <w:p w:rsidR="00E907CB" w:rsidRPr="00703107" w:rsidRDefault="00E907CB">
      <w:pPr>
        <w:pStyle w:val="Standard"/>
        <w:jc w:val="both"/>
        <w:rPr>
          <w:rFonts w:cs="Arial"/>
        </w:rPr>
      </w:pPr>
    </w:p>
    <w:p w:rsidR="00673FA5" w:rsidRPr="00703107" w:rsidRDefault="001436E7">
      <w:pPr>
        <w:pStyle w:val="Standard"/>
        <w:jc w:val="both"/>
        <w:rPr>
          <w:rFonts w:cs="Arial"/>
        </w:rPr>
      </w:pPr>
      <w:r w:rsidRPr="00703107">
        <w:rPr>
          <w:rFonts w:cs="Arial"/>
        </w:rPr>
        <w:t>nedospjele  obveze za:</w:t>
      </w:r>
    </w:p>
    <w:p w:rsidR="00673FA5" w:rsidRPr="00703107" w:rsidRDefault="001436E7">
      <w:pPr>
        <w:pStyle w:val="Standard"/>
        <w:jc w:val="both"/>
        <w:rPr>
          <w:rFonts w:cs="Arial"/>
        </w:rPr>
      </w:pPr>
      <w:r w:rsidRPr="00703107">
        <w:rPr>
          <w:rFonts w:cs="Arial"/>
        </w:rPr>
        <w:t>rashode poslovanja u iznosu od</w:t>
      </w:r>
      <w:r w:rsidR="00D96039" w:rsidRPr="00703107">
        <w:rPr>
          <w:rFonts w:cs="Arial"/>
        </w:rPr>
        <w:t xml:space="preserve"> 76.75</w:t>
      </w:r>
      <w:r w:rsidR="004253D4" w:rsidRPr="00703107">
        <w:rPr>
          <w:rFonts w:cs="Arial"/>
        </w:rPr>
        <w:t>8</w:t>
      </w:r>
      <w:r w:rsidRPr="00703107">
        <w:rPr>
          <w:rFonts w:cs="Arial"/>
        </w:rPr>
        <w:t xml:space="preserve"> kn</w:t>
      </w:r>
    </w:p>
    <w:p w:rsidR="00DB0663" w:rsidRPr="00703107" w:rsidRDefault="00DB0663">
      <w:pPr>
        <w:pStyle w:val="Standard"/>
        <w:jc w:val="both"/>
        <w:rPr>
          <w:rFonts w:cs="Arial"/>
        </w:rPr>
      </w:pPr>
    </w:p>
    <w:p w:rsidR="00606EB2" w:rsidRPr="00703107" w:rsidRDefault="001436E7">
      <w:pPr>
        <w:pStyle w:val="Standard"/>
        <w:jc w:val="both"/>
        <w:rPr>
          <w:rFonts w:cs="Arial"/>
        </w:rPr>
      </w:pPr>
      <w:r w:rsidRPr="00703107">
        <w:rPr>
          <w:rFonts w:cs="Arial"/>
        </w:rPr>
        <w:t xml:space="preserve">i dospjele obveze  u iznosu od </w:t>
      </w:r>
      <w:r w:rsidR="00D96039" w:rsidRPr="00703107">
        <w:rPr>
          <w:rFonts w:cs="Arial"/>
        </w:rPr>
        <w:t>2.350</w:t>
      </w:r>
      <w:r w:rsidRPr="00703107">
        <w:rPr>
          <w:rFonts w:cs="Arial"/>
        </w:rPr>
        <w:t xml:space="preserve"> kn</w:t>
      </w:r>
    </w:p>
    <w:p w:rsidR="00606EB2" w:rsidRPr="00703107" w:rsidRDefault="00606EB2">
      <w:pPr>
        <w:pStyle w:val="Standard"/>
        <w:jc w:val="both"/>
        <w:rPr>
          <w:rFonts w:cs="Arial"/>
        </w:rPr>
      </w:pPr>
    </w:p>
    <w:p w:rsidR="00C70882" w:rsidRPr="00703107" w:rsidRDefault="00C70882" w:rsidP="00C70882">
      <w:pPr>
        <w:pStyle w:val="Standard"/>
        <w:jc w:val="both"/>
        <w:rPr>
          <w:rFonts w:cs="Arial"/>
        </w:rPr>
      </w:pPr>
    </w:p>
    <w:p w:rsidR="00C70882" w:rsidRPr="00703107" w:rsidRDefault="00C70882" w:rsidP="00C70882">
      <w:pPr>
        <w:pStyle w:val="Standard"/>
        <w:jc w:val="both"/>
        <w:rPr>
          <w:rFonts w:cs="Arial"/>
          <w:b/>
        </w:rPr>
      </w:pPr>
      <w:r w:rsidRPr="00703107">
        <w:rPr>
          <w:rFonts w:cs="Arial"/>
          <w:b/>
        </w:rPr>
        <w:t>AOP 090 – Stanje nedospjelih obveza u iznosu od  kn odnosi se na:</w:t>
      </w:r>
    </w:p>
    <w:p w:rsidR="002E51FF" w:rsidRPr="00703107" w:rsidRDefault="002E51FF" w:rsidP="002E51FF">
      <w:pPr>
        <w:pStyle w:val="Standard"/>
        <w:jc w:val="both"/>
        <w:rPr>
          <w:rFonts w:cs="Arial"/>
          <w:b/>
        </w:rPr>
      </w:pPr>
    </w:p>
    <w:p w:rsidR="002E51FF" w:rsidRPr="00703107" w:rsidRDefault="002E51FF" w:rsidP="002E51FF">
      <w:pPr>
        <w:pStyle w:val="Standard"/>
        <w:jc w:val="both"/>
        <w:rPr>
          <w:rFonts w:cs="Arial"/>
        </w:rPr>
      </w:pPr>
      <w:r w:rsidRPr="00703107">
        <w:rPr>
          <w:rFonts w:cs="Arial"/>
        </w:rPr>
        <w:t xml:space="preserve">231 – Obveze za zaposlene u iznosu od ………………………. …. </w:t>
      </w:r>
      <w:r w:rsidR="00F9217E" w:rsidRPr="00703107">
        <w:rPr>
          <w:rFonts w:cs="Arial"/>
        </w:rPr>
        <w:t>43.041</w:t>
      </w:r>
      <w:r w:rsidRPr="00703107">
        <w:rPr>
          <w:rFonts w:cs="Arial"/>
        </w:rPr>
        <w:t xml:space="preserve"> kn</w:t>
      </w:r>
    </w:p>
    <w:p w:rsidR="002E51FF" w:rsidRPr="00703107" w:rsidRDefault="002E51FF" w:rsidP="002E51FF">
      <w:pPr>
        <w:pStyle w:val="Standard"/>
        <w:jc w:val="both"/>
        <w:rPr>
          <w:rFonts w:cs="Arial"/>
        </w:rPr>
      </w:pPr>
      <w:r w:rsidRPr="00703107">
        <w:rPr>
          <w:rFonts w:cs="Arial"/>
        </w:rPr>
        <w:t>232 – Obveze za materijalne rashode u iznosu od …………….  ….</w:t>
      </w:r>
      <w:r w:rsidR="00F9217E" w:rsidRPr="00703107">
        <w:rPr>
          <w:rFonts w:cs="Arial"/>
        </w:rPr>
        <w:t>30.933</w:t>
      </w:r>
      <w:r w:rsidRPr="00703107">
        <w:rPr>
          <w:rFonts w:cs="Arial"/>
        </w:rPr>
        <w:t xml:space="preserve"> kn</w:t>
      </w:r>
    </w:p>
    <w:tbl>
      <w:tblPr>
        <w:tblpPr w:leftFromText="180" w:rightFromText="180" w:horzAnchor="margin" w:tblpY="480"/>
        <w:tblW w:w="8514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</w:tblGrid>
      <w:tr w:rsidR="002E51FF" w:rsidRPr="00703107" w:rsidTr="00444318">
        <w:trPr>
          <w:trHeight w:val="80"/>
        </w:trPr>
        <w:tc>
          <w:tcPr>
            <w:tcW w:w="2954" w:type="dxa"/>
            <w:shd w:val="clear" w:color="auto" w:fill="auto"/>
            <w:noWrap/>
            <w:vAlign w:val="bottom"/>
          </w:tcPr>
          <w:p w:rsidR="002E51FF" w:rsidRPr="00703107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E51FF" w:rsidRPr="00703107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E51FF" w:rsidRPr="00703107" w:rsidRDefault="002E51FF" w:rsidP="004443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E51FF" w:rsidRPr="00703107" w:rsidRDefault="002E51FF" w:rsidP="004443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E51FF" w:rsidRPr="00703107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8A6761" w:rsidRPr="00703107" w:rsidRDefault="002E51FF" w:rsidP="002E51FF">
      <w:pPr>
        <w:pStyle w:val="Standard"/>
        <w:jc w:val="both"/>
        <w:rPr>
          <w:rFonts w:cs="Arial"/>
        </w:rPr>
      </w:pPr>
      <w:r w:rsidRPr="00703107">
        <w:rPr>
          <w:rFonts w:cs="Arial"/>
        </w:rPr>
        <w:t>234 – Obveze za financijske rashode ………………………………</w:t>
      </w:r>
      <w:r w:rsidR="00F9217E" w:rsidRPr="00703107">
        <w:rPr>
          <w:rFonts w:cs="Arial"/>
        </w:rPr>
        <w:t>….4</w:t>
      </w:r>
      <w:r w:rsidR="004479D2" w:rsidRPr="00703107">
        <w:rPr>
          <w:rFonts w:cs="Arial"/>
        </w:rPr>
        <w:t>79</w:t>
      </w:r>
      <w:r w:rsidR="004C4507" w:rsidRPr="00703107">
        <w:rPr>
          <w:rFonts w:cs="Arial"/>
        </w:rPr>
        <w:t xml:space="preserve"> kn</w:t>
      </w:r>
    </w:p>
    <w:p w:rsidR="002E51FF" w:rsidRPr="00703107" w:rsidRDefault="002E51FF" w:rsidP="002E51FF">
      <w:pPr>
        <w:pStyle w:val="Standard"/>
        <w:jc w:val="both"/>
        <w:rPr>
          <w:rFonts w:cs="Arial"/>
        </w:rPr>
      </w:pPr>
      <w:r w:rsidRPr="00703107">
        <w:rPr>
          <w:rFonts w:cs="Arial"/>
        </w:rPr>
        <w:t xml:space="preserve"> kn</w:t>
      </w:r>
    </w:p>
    <w:p w:rsidR="002E51FF" w:rsidRPr="00703107" w:rsidRDefault="002E51FF" w:rsidP="002E51FF">
      <w:pPr>
        <w:pStyle w:val="Standard"/>
        <w:jc w:val="both"/>
        <w:rPr>
          <w:rFonts w:cs="Arial"/>
        </w:rPr>
      </w:pPr>
      <w:r w:rsidRPr="00703107">
        <w:rPr>
          <w:rFonts w:cs="Arial"/>
        </w:rPr>
        <w:t>237 – Obveze za naknade građanima i kućanstvima u iznosu od .......</w:t>
      </w:r>
      <w:r w:rsidR="00F9217E" w:rsidRPr="00703107">
        <w:rPr>
          <w:rFonts w:cs="Arial"/>
        </w:rPr>
        <w:t xml:space="preserve">2.000 </w:t>
      </w:r>
      <w:r w:rsidRPr="00703107">
        <w:rPr>
          <w:rFonts w:cs="Arial"/>
        </w:rPr>
        <w:t>kn</w:t>
      </w:r>
    </w:p>
    <w:p w:rsidR="002E51FF" w:rsidRPr="00703107" w:rsidRDefault="002E51FF" w:rsidP="002E51FF">
      <w:pPr>
        <w:pStyle w:val="Standard"/>
        <w:jc w:val="both"/>
        <w:rPr>
          <w:rFonts w:cs="Arial"/>
        </w:rPr>
      </w:pPr>
      <w:r w:rsidRPr="00703107">
        <w:rPr>
          <w:rFonts w:cs="Arial"/>
        </w:rPr>
        <w:t>239 – Ostale tekuće obveze u iznosu od …………………………</w:t>
      </w:r>
      <w:r w:rsidR="00F9217E" w:rsidRPr="00703107">
        <w:rPr>
          <w:rFonts w:cs="Arial"/>
        </w:rPr>
        <w:t>…….305</w:t>
      </w:r>
      <w:r w:rsidRPr="00703107">
        <w:rPr>
          <w:rFonts w:cs="Arial"/>
        </w:rPr>
        <w:t xml:space="preserve"> kn</w:t>
      </w:r>
    </w:p>
    <w:p w:rsidR="002E51FF" w:rsidRPr="00703107" w:rsidRDefault="002E51FF">
      <w:pPr>
        <w:pStyle w:val="Standard"/>
        <w:jc w:val="both"/>
        <w:rPr>
          <w:rFonts w:cs="Arial"/>
        </w:rPr>
      </w:pPr>
    </w:p>
    <w:p w:rsidR="002E51FF" w:rsidRPr="00703107" w:rsidRDefault="002E51FF">
      <w:pPr>
        <w:pStyle w:val="Standard"/>
        <w:jc w:val="both"/>
        <w:rPr>
          <w:rFonts w:cs="Arial"/>
        </w:rPr>
      </w:pPr>
    </w:p>
    <w:p w:rsidR="00C70882" w:rsidRPr="00703107" w:rsidRDefault="00C70882" w:rsidP="00C70882">
      <w:pPr>
        <w:pStyle w:val="Standard"/>
        <w:jc w:val="both"/>
        <w:rPr>
          <w:rFonts w:cs="Arial"/>
          <w:b/>
        </w:rPr>
      </w:pPr>
      <w:r w:rsidRPr="00703107">
        <w:rPr>
          <w:rFonts w:cs="Arial"/>
          <w:b/>
        </w:rPr>
        <w:t>AOP 037 – Stanje dospjelih obveza u iznosu od 2.350 kn odnosi se na:</w:t>
      </w:r>
    </w:p>
    <w:p w:rsidR="002E51FF" w:rsidRPr="00703107" w:rsidRDefault="002E51FF">
      <w:pPr>
        <w:pStyle w:val="Standard"/>
        <w:jc w:val="both"/>
        <w:rPr>
          <w:rFonts w:cs="Arial"/>
        </w:rPr>
      </w:pPr>
    </w:p>
    <w:p w:rsidR="00F11F33" w:rsidRPr="00703107" w:rsidRDefault="00F11F33" w:rsidP="00F11F33">
      <w:pPr>
        <w:pStyle w:val="Standard"/>
        <w:jc w:val="both"/>
        <w:rPr>
          <w:rFonts w:cs="Arial"/>
        </w:rPr>
      </w:pPr>
      <w:r w:rsidRPr="00703107">
        <w:rPr>
          <w:rFonts w:cs="Arial"/>
        </w:rPr>
        <w:t>232 – Obveze za materijalne rashode u iznosu od ……………</w:t>
      </w:r>
      <w:r w:rsidR="00EB6C46" w:rsidRPr="00703107">
        <w:rPr>
          <w:rFonts w:cs="Arial"/>
        </w:rPr>
        <w:t>….250</w:t>
      </w:r>
      <w:r w:rsidRPr="00703107">
        <w:rPr>
          <w:rFonts w:cs="Arial"/>
        </w:rPr>
        <w:t xml:space="preserve"> kn</w:t>
      </w:r>
    </w:p>
    <w:p w:rsidR="000D0F1A" w:rsidRPr="00703107" w:rsidRDefault="00F11F33">
      <w:pPr>
        <w:pStyle w:val="Standard"/>
        <w:jc w:val="both"/>
        <w:rPr>
          <w:rFonts w:cs="Arial"/>
        </w:rPr>
      </w:pPr>
      <w:r w:rsidRPr="00703107">
        <w:rPr>
          <w:rFonts w:cs="Arial"/>
        </w:rPr>
        <w:t>237 – Obveze za naknade građanima i kućanstvima …………..</w:t>
      </w:r>
      <w:r w:rsidR="00EB6C46" w:rsidRPr="00703107">
        <w:rPr>
          <w:rFonts w:cs="Arial"/>
        </w:rPr>
        <w:t>2</w:t>
      </w:r>
      <w:r w:rsidRPr="00703107">
        <w:rPr>
          <w:rFonts w:cs="Arial"/>
        </w:rPr>
        <w:t>.</w:t>
      </w:r>
      <w:r w:rsidR="00EB6C46" w:rsidRPr="00703107">
        <w:rPr>
          <w:rFonts w:cs="Arial"/>
        </w:rPr>
        <w:t>10</w:t>
      </w:r>
      <w:r w:rsidRPr="00703107">
        <w:rPr>
          <w:rFonts w:cs="Arial"/>
        </w:rPr>
        <w:t>0 kn</w:t>
      </w:r>
    </w:p>
    <w:p w:rsidR="00606EB2" w:rsidRPr="00703107" w:rsidRDefault="00606EB2">
      <w:pPr>
        <w:pStyle w:val="Standard"/>
        <w:jc w:val="both"/>
        <w:rPr>
          <w:rFonts w:cs="Arial"/>
        </w:rPr>
      </w:pPr>
    </w:p>
    <w:p w:rsidR="00606EB2" w:rsidRPr="00703107" w:rsidRDefault="00606EB2">
      <w:pPr>
        <w:pStyle w:val="Standard"/>
        <w:jc w:val="both"/>
        <w:rPr>
          <w:rFonts w:cs="Arial"/>
          <w:color w:val="5B9BD5"/>
        </w:rPr>
      </w:pPr>
    </w:p>
    <w:p w:rsidR="00606EB2" w:rsidRPr="00703107" w:rsidRDefault="001436E7">
      <w:pPr>
        <w:pStyle w:val="Standard"/>
        <w:jc w:val="both"/>
        <w:rPr>
          <w:rFonts w:cs="Arial"/>
          <w:color w:val="000000"/>
        </w:rPr>
      </w:pPr>
      <w:r w:rsidRPr="00703107">
        <w:rPr>
          <w:rFonts w:cs="Arial"/>
          <w:color w:val="000000"/>
        </w:rPr>
        <w:t xml:space="preserve">U Velikom Bukovcu, </w:t>
      </w:r>
      <w:r w:rsidR="001749A2" w:rsidRPr="00703107">
        <w:rPr>
          <w:rFonts w:cs="Arial"/>
          <w:color w:val="000000"/>
        </w:rPr>
        <w:t>travanj</w:t>
      </w:r>
      <w:r w:rsidR="00776B03" w:rsidRPr="00703107">
        <w:rPr>
          <w:rFonts w:cs="Arial"/>
          <w:color w:val="000000"/>
        </w:rPr>
        <w:t xml:space="preserve"> 2020</w:t>
      </w:r>
      <w:r w:rsidRPr="00703107">
        <w:rPr>
          <w:rFonts w:cs="Arial"/>
          <w:color w:val="000000"/>
        </w:rPr>
        <w:t>.</w:t>
      </w:r>
    </w:p>
    <w:p w:rsidR="00606EB2" w:rsidRPr="00703107" w:rsidRDefault="00606EB2">
      <w:pPr>
        <w:pStyle w:val="Standard"/>
        <w:jc w:val="both"/>
        <w:rPr>
          <w:rFonts w:cs="Arial"/>
        </w:rPr>
      </w:pPr>
    </w:p>
    <w:p w:rsidR="00606EB2" w:rsidRPr="00703107" w:rsidRDefault="000A1E08">
      <w:pPr>
        <w:pStyle w:val="Standard"/>
        <w:jc w:val="both"/>
        <w:rPr>
          <w:rFonts w:cs="Arial"/>
        </w:rPr>
      </w:pPr>
      <w:r w:rsidRPr="00703107">
        <w:rPr>
          <w:rFonts w:cs="Arial"/>
        </w:rPr>
        <w:t xml:space="preserve">Bilješke sastavila: Nevenka </w:t>
      </w:r>
      <w:proofErr w:type="spellStart"/>
      <w:r w:rsidRPr="00703107">
        <w:rPr>
          <w:rFonts w:cs="Arial"/>
        </w:rPr>
        <w:t>Martinković</w:t>
      </w:r>
      <w:proofErr w:type="spellEnd"/>
    </w:p>
    <w:p w:rsidR="00606EB2" w:rsidRDefault="001436E7">
      <w:pPr>
        <w:pStyle w:val="Standard"/>
        <w:jc w:val="both"/>
        <w:rPr>
          <w:rFonts w:cs="Arial"/>
        </w:rPr>
      </w:pP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bookmarkStart w:id="1" w:name="_GoBack"/>
      <w:bookmarkEnd w:id="1"/>
    </w:p>
    <w:sectPr w:rsidR="00606EB2">
      <w:pgSz w:w="11905" w:h="16837"/>
      <w:pgMar w:top="709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B1C" w:rsidRDefault="00D77B1C">
      <w:r>
        <w:separator/>
      </w:r>
    </w:p>
  </w:endnote>
  <w:endnote w:type="continuationSeparator" w:id="0">
    <w:p w:rsidR="00D77B1C" w:rsidRDefault="00D7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B1C" w:rsidRDefault="00D77B1C">
      <w:r>
        <w:rPr>
          <w:color w:val="000000"/>
        </w:rPr>
        <w:separator/>
      </w:r>
    </w:p>
  </w:footnote>
  <w:footnote w:type="continuationSeparator" w:id="0">
    <w:p w:rsidR="00D77B1C" w:rsidRDefault="00D7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3313"/>
    <w:rsid w:val="00006353"/>
    <w:rsid w:val="000078C9"/>
    <w:rsid w:val="00011A26"/>
    <w:rsid w:val="00027E5F"/>
    <w:rsid w:val="00032ED5"/>
    <w:rsid w:val="000342ED"/>
    <w:rsid w:val="00035DD4"/>
    <w:rsid w:val="000430B8"/>
    <w:rsid w:val="00050673"/>
    <w:rsid w:val="00052168"/>
    <w:rsid w:val="00056643"/>
    <w:rsid w:val="000566AD"/>
    <w:rsid w:val="00076B84"/>
    <w:rsid w:val="00082229"/>
    <w:rsid w:val="00090510"/>
    <w:rsid w:val="0009088C"/>
    <w:rsid w:val="0009123C"/>
    <w:rsid w:val="00093BAA"/>
    <w:rsid w:val="000947B8"/>
    <w:rsid w:val="000A1E08"/>
    <w:rsid w:val="000A757D"/>
    <w:rsid w:val="000B0325"/>
    <w:rsid w:val="000B642D"/>
    <w:rsid w:val="000C0E60"/>
    <w:rsid w:val="000C46A9"/>
    <w:rsid w:val="000C6814"/>
    <w:rsid w:val="000C7E4F"/>
    <w:rsid w:val="000D0358"/>
    <w:rsid w:val="000D0F1A"/>
    <w:rsid w:val="000D479E"/>
    <w:rsid w:val="000D5082"/>
    <w:rsid w:val="000E42EF"/>
    <w:rsid w:val="000F09B8"/>
    <w:rsid w:val="000F1576"/>
    <w:rsid w:val="000F64F1"/>
    <w:rsid w:val="000F76EA"/>
    <w:rsid w:val="001105A2"/>
    <w:rsid w:val="00114A88"/>
    <w:rsid w:val="00121297"/>
    <w:rsid w:val="0012782A"/>
    <w:rsid w:val="00136395"/>
    <w:rsid w:val="00142425"/>
    <w:rsid w:val="001436E7"/>
    <w:rsid w:val="001447D1"/>
    <w:rsid w:val="001520F9"/>
    <w:rsid w:val="00170B3B"/>
    <w:rsid w:val="00173F7B"/>
    <w:rsid w:val="001749A2"/>
    <w:rsid w:val="00175092"/>
    <w:rsid w:val="001770C5"/>
    <w:rsid w:val="001870ED"/>
    <w:rsid w:val="00187EF6"/>
    <w:rsid w:val="00197DF9"/>
    <w:rsid w:val="001A4B03"/>
    <w:rsid w:val="001B0C0A"/>
    <w:rsid w:val="001B11A8"/>
    <w:rsid w:val="001B3133"/>
    <w:rsid w:val="001B6C95"/>
    <w:rsid w:val="001C1FF5"/>
    <w:rsid w:val="001F4A7E"/>
    <w:rsid w:val="00205858"/>
    <w:rsid w:val="00215D3F"/>
    <w:rsid w:val="00217B5E"/>
    <w:rsid w:val="00223C37"/>
    <w:rsid w:val="002254CE"/>
    <w:rsid w:val="00225849"/>
    <w:rsid w:val="00225D53"/>
    <w:rsid w:val="0023404D"/>
    <w:rsid w:val="002468C4"/>
    <w:rsid w:val="00247D01"/>
    <w:rsid w:val="002541CB"/>
    <w:rsid w:val="00256BD3"/>
    <w:rsid w:val="00261EFB"/>
    <w:rsid w:val="0026700C"/>
    <w:rsid w:val="00267332"/>
    <w:rsid w:val="00270732"/>
    <w:rsid w:val="00276E56"/>
    <w:rsid w:val="00282246"/>
    <w:rsid w:val="00296A93"/>
    <w:rsid w:val="002A51BD"/>
    <w:rsid w:val="002A757B"/>
    <w:rsid w:val="002B5FAD"/>
    <w:rsid w:val="002B692B"/>
    <w:rsid w:val="002C0E49"/>
    <w:rsid w:val="002C2A8E"/>
    <w:rsid w:val="002C32EA"/>
    <w:rsid w:val="002D18CA"/>
    <w:rsid w:val="002D534F"/>
    <w:rsid w:val="002D5771"/>
    <w:rsid w:val="002E087C"/>
    <w:rsid w:val="002E3834"/>
    <w:rsid w:val="002E51FF"/>
    <w:rsid w:val="002F30C0"/>
    <w:rsid w:val="00311740"/>
    <w:rsid w:val="00315FC0"/>
    <w:rsid w:val="0031602E"/>
    <w:rsid w:val="00317B8B"/>
    <w:rsid w:val="00317D4E"/>
    <w:rsid w:val="00323C02"/>
    <w:rsid w:val="003255BE"/>
    <w:rsid w:val="00330A7C"/>
    <w:rsid w:val="00332B81"/>
    <w:rsid w:val="0033551A"/>
    <w:rsid w:val="003459CF"/>
    <w:rsid w:val="00345DB5"/>
    <w:rsid w:val="00345DFF"/>
    <w:rsid w:val="0035043B"/>
    <w:rsid w:val="00360A50"/>
    <w:rsid w:val="00374673"/>
    <w:rsid w:val="00391E88"/>
    <w:rsid w:val="003940B6"/>
    <w:rsid w:val="00396E78"/>
    <w:rsid w:val="003A04ED"/>
    <w:rsid w:val="003B3C4A"/>
    <w:rsid w:val="003C738B"/>
    <w:rsid w:val="003D1DE7"/>
    <w:rsid w:val="003D735F"/>
    <w:rsid w:val="003E0B9B"/>
    <w:rsid w:val="003E5D84"/>
    <w:rsid w:val="003E6057"/>
    <w:rsid w:val="003E631B"/>
    <w:rsid w:val="003E772B"/>
    <w:rsid w:val="00411647"/>
    <w:rsid w:val="0041354D"/>
    <w:rsid w:val="00422E39"/>
    <w:rsid w:val="004253D4"/>
    <w:rsid w:val="00426E85"/>
    <w:rsid w:val="00437F63"/>
    <w:rsid w:val="004432AF"/>
    <w:rsid w:val="00446A5B"/>
    <w:rsid w:val="00447400"/>
    <w:rsid w:val="004479D2"/>
    <w:rsid w:val="00452817"/>
    <w:rsid w:val="00455A81"/>
    <w:rsid w:val="004670F9"/>
    <w:rsid w:val="004676BE"/>
    <w:rsid w:val="004731F0"/>
    <w:rsid w:val="00481055"/>
    <w:rsid w:val="00481989"/>
    <w:rsid w:val="00484062"/>
    <w:rsid w:val="0048683A"/>
    <w:rsid w:val="00487251"/>
    <w:rsid w:val="0048761E"/>
    <w:rsid w:val="00492434"/>
    <w:rsid w:val="004930C1"/>
    <w:rsid w:val="00496243"/>
    <w:rsid w:val="004B3AC2"/>
    <w:rsid w:val="004C4507"/>
    <w:rsid w:val="004C582D"/>
    <w:rsid w:val="004D066F"/>
    <w:rsid w:val="004D3ADA"/>
    <w:rsid w:val="004D5945"/>
    <w:rsid w:val="004E19CF"/>
    <w:rsid w:val="004E2CE7"/>
    <w:rsid w:val="004E4D4B"/>
    <w:rsid w:val="004E53D5"/>
    <w:rsid w:val="00512831"/>
    <w:rsid w:val="00515B5A"/>
    <w:rsid w:val="005205B3"/>
    <w:rsid w:val="005214FB"/>
    <w:rsid w:val="00521830"/>
    <w:rsid w:val="00522839"/>
    <w:rsid w:val="00540E2F"/>
    <w:rsid w:val="00554E22"/>
    <w:rsid w:val="00556C96"/>
    <w:rsid w:val="0056313F"/>
    <w:rsid w:val="00564B22"/>
    <w:rsid w:val="005654E3"/>
    <w:rsid w:val="0056792D"/>
    <w:rsid w:val="00567E14"/>
    <w:rsid w:val="005761B4"/>
    <w:rsid w:val="005928DF"/>
    <w:rsid w:val="00594A98"/>
    <w:rsid w:val="005A0450"/>
    <w:rsid w:val="005A07F8"/>
    <w:rsid w:val="005A4B88"/>
    <w:rsid w:val="005A4B9D"/>
    <w:rsid w:val="005B569E"/>
    <w:rsid w:val="005B5E83"/>
    <w:rsid w:val="005C271F"/>
    <w:rsid w:val="005C5276"/>
    <w:rsid w:val="005D74D3"/>
    <w:rsid w:val="005E1614"/>
    <w:rsid w:val="005E2095"/>
    <w:rsid w:val="005E288C"/>
    <w:rsid w:val="005F624E"/>
    <w:rsid w:val="00606EB2"/>
    <w:rsid w:val="00613D39"/>
    <w:rsid w:val="00614300"/>
    <w:rsid w:val="00620E25"/>
    <w:rsid w:val="006269B6"/>
    <w:rsid w:val="0064072D"/>
    <w:rsid w:val="00640D25"/>
    <w:rsid w:val="0064140F"/>
    <w:rsid w:val="00642781"/>
    <w:rsid w:val="0064508D"/>
    <w:rsid w:val="00646D5F"/>
    <w:rsid w:val="00647292"/>
    <w:rsid w:val="00650456"/>
    <w:rsid w:val="006533C9"/>
    <w:rsid w:val="00663230"/>
    <w:rsid w:val="00673FA5"/>
    <w:rsid w:val="0068150B"/>
    <w:rsid w:val="00681A28"/>
    <w:rsid w:val="00685351"/>
    <w:rsid w:val="00694D78"/>
    <w:rsid w:val="006A06DE"/>
    <w:rsid w:val="006A2C5D"/>
    <w:rsid w:val="006B1924"/>
    <w:rsid w:val="006C328C"/>
    <w:rsid w:val="006D0DB5"/>
    <w:rsid w:val="006D255E"/>
    <w:rsid w:val="006E0E6F"/>
    <w:rsid w:val="006E5480"/>
    <w:rsid w:val="006F4BDA"/>
    <w:rsid w:val="006F5634"/>
    <w:rsid w:val="006F7B32"/>
    <w:rsid w:val="00703107"/>
    <w:rsid w:val="00714D0D"/>
    <w:rsid w:val="00725C04"/>
    <w:rsid w:val="007310FF"/>
    <w:rsid w:val="00732BB4"/>
    <w:rsid w:val="00735841"/>
    <w:rsid w:val="0073642D"/>
    <w:rsid w:val="007378E0"/>
    <w:rsid w:val="00741E65"/>
    <w:rsid w:val="00747E65"/>
    <w:rsid w:val="00751E25"/>
    <w:rsid w:val="007524AB"/>
    <w:rsid w:val="00754BE6"/>
    <w:rsid w:val="0075627F"/>
    <w:rsid w:val="00761B58"/>
    <w:rsid w:val="0076335E"/>
    <w:rsid w:val="00766F3A"/>
    <w:rsid w:val="00773435"/>
    <w:rsid w:val="00776B03"/>
    <w:rsid w:val="00780E48"/>
    <w:rsid w:val="007814B1"/>
    <w:rsid w:val="00781A87"/>
    <w:rsid w:val="0078725F"/>
    <w:rsid w:val="00791F1F"/>
    <w:rsid w:val="00792AA4"/>
    <w:rsid w:val="0079594A"/>
    <w:rsid w:val="007A6633"/>
    <w:rsid w:val="007A6C66"/>
    <w:rsid w:val="007B4BAD"/>
    <w:rsid w:val="007D47AA"/>
    <w:rsid w:val="007D4D16"/>
    <w:rsid w:val="007D7ACC"/>
    <w:rsid w:val="007D7C0E"/>
    <w:rsid w:val="007E2FF8"/>
    <w:rsid w:val="007F0F3A"/>
    <w:rsid w:val="007F6D78"/>
    <w:rsid w:val="0080422D"/>
    <w:rsid w:val="0080718A"/>
    <w:rsid w:val="00811F47"/>
    <w:rsid w:val="008165CE"/>
    <w:rsid w:val="00817E09"/>
    <w:rsid w:val="00827510"/>
    <w:rsid w:val="008358CA"/>
    <w:rsid w:val="00855D4D"/>
    <w:rsid w:val="00862D82"/>
    <w:rsid w:val="00870B12"/>
    <w:rsid w:val="0087347D"/>
    <w:rsid w:val="008871DE"/>
    <w:rsid w:val="008902B7"/>
    <w:rsid w:val="008A302E"/>
    <w:rsid w:val="008A6761"/>
    <w:rsid w:val="008B17DE"/>
    <w:rsid w:val="008B2EE8"/>
    <w:rsid w:val="008C059A"/>
    <w:rsid w:val="008C1F0D"/>
    <w:rsid w:val="008C4DE2"/>
    <w:rsid w:val="008D0DA0"/>
    <w:rsid w:val="008D2F57"/>
    <w:rsid w:val="008D3A2A"/>
    <w:rsid w:val="008D5438"/>
    <w:rsid w:val="008F3730"/>
    <w:rsid w:val="008F7319"/>
    <w:rsid w:val="00901AC6"/>
    <w:rsid w:val="00904503"/>
    <w:rsid w:val="00915ABF"/>
    <w:rsid w:val="00917DE0"/>
    <w:rsid w:val="009219F8"/>
    <w:rsid w:val="009314C8"/>
    <w:rsid w:val="00934575"/>
    <w:rsid w:val="0093660A"/>
    <w:rsid w:val="0094028B"/>
    <w:rsid w:val="009448E1"/>
    <w:rsid w:val="00950985"/>
    <w:rsid w:val="0095290C"/>
    <w:rsid w:val="00956CE0"/>
    <w:rsid w:val="0096220F"/>
    <w:rsid w:val="00962971"/>
    <w:rsid w:val="00964261"/>
    <w:rsid w:val="00967FD0"/>
    <w:rsid w:val="009717C9"/>
    <w:rsid w:val="00973BD0"/>
    <w:rsid w:val="0097437B"/>
    <w:rsid w:val="00976677"/>
    <w:rsid w:val="00976F8F"/>
    <w:rsid w:val="00977F69"/>
    <w:rsid w:val="00981AB7"/>
    <w:rsid w:val="0099367A"/>
    <w:rsid w:val="00995508"/>
    <w:rsid w:val="009B0715"/>
    <w:rsid w:val="009B07BA"/>
    <w:rsid w:val="009B3419"/>
    <w:rsid w:val="009B6A54"/>
    <w:rsid w:val="009B725B"/>
    <w:rsid w:val="009C2D40"/>
    <w:rsid w:val="009C5080"/>
    <w:rsid w:val="009D3C89"/>
    <w:rsid w:val="009D44A4"/>
    <w:rsid w:val="009D7755"/>
    <w:rsid w:val="009E1BB0"/>
    <w:rsid w:val="009E2A4C"/>
    <w:rsid w:val="009E4930"/>
    <w:rsid w:val="009E5BD7"/>
    <w:rsid w:val="009F22BC"/>
    <w:rsid w:val="009F6127"/>
    <w:rsid w:val="00A03F40"/>
    <w:rsid w:val="00A17360"/>
    <w:rsid w:val="00A2001D"/>
    <w:rsid w:val="00A25170"/>
    <w:rsid w:val="00A304A2"/>
    <w:rsid w:val="00A30C29"/>
    <w:rsid w:val="00A32845"/>
    <w:rsid w:val="00A37C38"/>
    <w:rsid w:val="00A41DD1"/>
    <w:rsid w:val="00A424BF"/>
    <w:rsid w:val="00A5298B"/>
    <w:rsid w:val="00A52D6F"/>
    <w:rsid w:val="00A540EA"/>
    <w:rsid w:val="00A56179"/>
    <w:rsid w:val="00A639D4"/>
    <w:rsid w:val="00A63E85"/>
    <w:rsid w:val="00A67C3F"/>
    <w:rsid w:val="00A701AD"/>
    <w:rsid w:val="00A720FF"/>
    <w:rsid w:val="00A81D5F"/>
    <w:rsid w:val="00A87FE6"/>
    <w:rsid w:val="00A9217B"/>
    <w:rsid w:val="00AA3EC0"/>
    <w:rsid w:val="00AA6CCB"/>
    <w:rsid w:val="00AB1660"/>
    <w:rsid w:val="00AB4743"/>
    <w:rsid w:val="00AC018E"/>
    <w:rsid w:val="00AC479C"/>
    <w:rsid w:val="00AC5EAA"/>
    <w:rsid w:val="00AD0945"/>
    <w:rsid w:val="00AD788A"/>
    <w:rsid w:val="00AD7C31"/>
    <w:rsid w:val="00AE4A65"/>
    <w:rsid w:val="00AE72D0"/>
    <w:rsid w:val="00AF1B1B"/>
    <w:rsid w:val="00AF6BF4"/>
    <w:rsid w:val="00B06A67"/>
    <w:rsid w:val="00B13B63"/>
    <w:rsid w:val="00B159D2"/>
    <w:rsid w:val="00B17FFD"/>
    <w:rsid w:val="00B41968"/>
    <w:rsid w:val="00B448D8"/>
    <w:rsid w:val="00B469ED"/>
    <w:rsid w:val="00B51D87"/>
    <w:rsid w:val="00B523F6"/>
    <w:rsid w:val="00B567EB"/>
    <w:rsid w:val="00B603C5"/>
    <w:rsid w:val="00B67176"/>
    <w:rsid w:val="00B72E84"/>
    <w:rsid w:val="00B80122"/>
    <w:rsid w:val="00B83A5F"/>
    <w:rsid w:val="00B86541"/>
    <w:rsid w:val="00B9430F"/>
    <w:rsid w:val="00B97F93"/>
    <w:rsid w:val="00BA12A4"/>
    <w:rsid w:val="00BA152B"/>
    <w:rsid w:val="00BA7FBF"/>
    <w:rsid w:val="00BC01D1"/>
    <w:rsid w:val="00BC0A44"/>
    <w:rsid w:val="00BC72C4"/>
    <w:rsid w:val="00BD4DA2"/>
    <w:rsid w:val="00BD7C7B"/>
    <w:rsid w:val="00BE2B74"/>
    <w:rsid w:val="00BE52C7"/>
    <w:rsid w:val="00BE6690"/>
    <w:rsid w:val="00BF31A9"/>
    <w:rsid w:val="00BF33A2"/>
    <w:rsid w:val="00BF53C6"/>
    <w:rsid w:val="00C0221B"/>
    <w:rsid w:val="00C1092A"/>
    <w:rsid w:val="00C17201"/>
    <w:rsid w:val="00C273C5"/>
    <w:rsid w:val="00C335EC"/>
    <w:rsid w:val="00C33EBA"/>
    <w:rsid w:val="00C37C9F"/>
    <w:rsid w:val="00C41B27"/>
    <w:rsid w:val="00C4381B"/>
    <w:rsid w:val="00C44BDA"/>
    <w:rsid w:val="00C47B42"/>
    <w:rsid w:val="00C500B9"/>
    <w:rsid w:val="00C53A34"/>
    <w:rsid w:val="00C57432"/>
    <w:rsid w:val="00C67FE8"/>
    <w:rsid w:val="00C70882"/>
    <w:rsid w:val="00C72B29"/>
    <w:rsid w:val="00C95E3A"/>
    <w:rsid w:val="00CA4269"/>
    <w:rsid w:val="00CA58F1"/>
    <w:rsid w:val="00CA77CD"/>
    <w:rsid w:val="00CB16E1"/>
    <w:rsid w:val="00CC1142"/>
    <w:rsid w:val="00CC1439"/>
    <w:rsid w:val="00CC1A10"/>
    <w:rsid w:val="00CD5F09"/>
    <w:rsid w:val="00CD6567"/>
    <w:rsid w:val="00CE0D00"/>
    <w:rsid w:val="00CE3A26"/>
    <w:rsid w:val="00CE79E4"/>
    <w:rsid w:val="00CF20A3"/>
    <w:rsid w:val="00CF4C80"/>
    <w:rsid w:val="00CF70DD"/>
    <w:rsid w:val="00D0748E"/>
    <w:rsid w:val="00D12AAA"/>
    <w:rsid w:val="00D17A79"/>
    <w:rsid w:val="00D22193"/>
    <w:rsid w:val="00D221DD"/>
    <w:rsid w:val="00D24AF9"/>
    <w:rsid w:val="00D34A38"/>
    <w:rsid w:val="00D37102"/>
    <w:rsid w:val="00D4021A"/>
    <w:rsid w:val="00D42951"/>
    <w:rsid w:val="00D43B7F"/>
    <w:rsid w:val="00D52044"/>
    <w:rsid w:val="00D61A37"/>
    <w:rsid w:val="00D65EF3"/>
    <w:rsid w:val="00D67B96"/>
    <w:rsid w:val="00D67CEB"/>
    <w:rsid w:val="00D72023"/>
    <w:rsid w:val="00D77B1C"/>
    <w:rsid w:val="00D869F3"/>
    <w:rsid w:val="00D910B5"/>
    <w:rsid w:val="00D96039"/>
    <w:rsid w:val="00D96D9D"/>
    <w:rsid w:val="00DA0FE9"/>
    <w:rsid w:val="00DA251D"/>
    <w:rsid w:val="00DA3403"/>
    <w:rsid w:val="00DA444A"/>
    <w:rsid w:val="00DA6BC7"/>
    <w:rsid w:val="00DB0663"/>
    <w:rsid w:val="00DB4A8B"/>
    <w:rsid w:val="00DB64E3"/>
    <w:rsid w:val="00DE6736"/>
    <w:rsid w:val="00DF16A8"/>
    <w:rsid w:val="00DF3C87"/>
    <w:rsid w:val="00DF6D53"/>
    <w:rsid w:val="00E0185B"/>
    <w:rsid w:val="00E02BFE"/>
    <w:rsid w:val="00E0629C"/>
    <w:rsid w:val="00E07086"/>
    <w:rsid w:val="00E10450"/>
    <w:rsid w:val="00E128CD"/>
    <w:rsid w:val="00E200B9"/>
    <w:rsid w:val="00E21D03"/>
    <w:rsid w:val="00E25854"/>
    <w:rsid w:val="00E26C24"/>
    <w:rsid w:val="00E50486"/>
    <w:rsid w:val="00E54C5D"/>
    <w:rsid w:val="00E55882"/>
    <w:rsid w:val="00E7207D"/>
    <w:rsid w:val="00E7335D"/>
    <w:rsid w:val="00E76E83"/>
    <w:rsid w:val="00E77C24"/>
    <w:rsid w:val="00E802B6"/>
    <w:rsid w:val="00E81172"/>
    <w:rsid w:val="00E85C25"/>
    <w:rsid w:val="00E878ED"/>
    <w:rsid w:val="00E87A59"/>
    <w:rsid w:val="00E87D9C"/>
    <w:rsid w:val="00E907CB"/>
    <w:rsid w:val="00E9251B"/>
    <w:rsid w:val="00E946CE"/>
    <w:rsid w:val="00EA2623"/>
    <w:rsid w:val="00EA4EDC"/>
    <w:rsid w:val="00EB21B2"/>
    <w:rsid w:val="00EB617B"/>
    <w:rsid w:val="00EB6C46"/>
    <w:rsid w:val="00EC3470"/>
    <w:rsid w:val="00EC4ABD"/>
    <w:rsid w:val="00ED0EE6"/>
    <w:rsid w:val="00EE13A3"/>
    <w:rsid w:val="00EE2BF7"/>
    <w:rsid w:val="00EE699A"/>
    <w:rsid w:val="00EF04BA"/>
    <w:rsid w:val="00F04E09"/>
    <w:rsid w:val="00F11F33"/>
    <w:rsid w:val="00F23F1A"/>
    <w:rsid w:val="00F24B9B"/>
    <w:rsid w:val="00F321A3"/>
    <w:rsid w:val="00F326A3"/>
    <w:rsid w:val="00F432C7"/>
    <w:rsid w:val="00F453BC"/>
    <w:rsid w:val="00F46B91"/>
    <w:rsid w:val="00F51CD4"/>
    <w:rsid w:val="00F6067C"/>
    <w:rsid w:val="00F613EF"/>
    <w:rsid w:val="00F61DC0"/>
    <w:rsid w:val="00F62B4B"/>
    <w:rsid w:val="00F65064"/>
    <w:rsid w:val="00F66C25"/>
    <w:rsid w:val="00F8096E"/>
    <w:rsid w:val="00F80E83"/>
    <w:rsid w:val="00F82EBC"/>
    <w:rsid w:val="00F84684"/>
    <w:rsid w:val="00F85BFF"/>
    <w:rsid w:val="00F9217E"/>
    <w:rsid w:val="00F927E2"/>
    <w:rsid w:val="00FA0C68"/>
    <w:rsid w:val="00FA3053"/>
    <w:rsid w:val="00FB0ADF"/>
    <w:rsid w:val="00FB1A9D"/>
    <w:rsid w:val="00FB5975"/>
    <w:rsid w:val="00FC0DBB"/>
    <w:rsid w:val="00FC6897"/>
    <w:rsid w:val="00FC7CB7"/>
    <w:rsid w:val="00FE069F"/>
    <w:rsid w:val="00FE5AB4"/>
    <w:rsid w:val="00FE5F38"/>
    <w:rsid w:val="00FE7376"/>
    <w:rsid w:val="00FF2E8C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65FB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107</cp:revision>
  <cp:lastPrinted>2020-02-18T08:53:00Z</cp:lastPrinted>
  <dcterms:created xsi:type="dcterms:W3CDTF">2020-04-17T12:01:00Z</dcterms:created>
  <dcterms:modified xsi:type="dcterms:W3CDTF">2020-04-29T07:09:00Z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